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27E31EA2" wp14:editId="4F1B026B">
            <wp:simplePos x="0" y="0"/>
            <wp:positionH relativeFrom="column">
              <wp:posOffset>-118745</wp:posOffset>
            </wp:positionH>
            <wp:positionV relativeFrom="paragraph">
              <wp:posOffset>-97155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007">
        <w:rPr>
          <w:rFonts w:ascii="Times New Roman" w:eastAsia="SimSun" w:hAnsi="Times New Roman" w:cs="Mangal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 wp14:anchorId="5A38AD58" wp14:editId="4B5EE714">
            <wp:simplePos x="0" y="0"/>
            <wp:positionH relativeFrom="column">
              <wp:posOffset>4092575</wp:posOffset>
            </wp:positionH>
            <wp:positionV relativeFrom="paragraph">
              <wp:posOffset>-91440</wp:posOffset>
            </wp:positionV>
            <wp:extent cx="836930" cy="989330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                         </w:t>
      </w:r>
      <w:r w:rsidRPr="006D0007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Российская</w:t>
      </w: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</w:t>
      </w:r>
      <w:r w:rsidRPr="006D0007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Федерация</w:t>
      </w: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         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                              Республика Адыгея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                       Совет народных депутатов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                     муниципального образования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                 «</w:t>
      </w:r>
      <w:proofErr w:type="spellStart"/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сельское поселение» 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zh-CN" w:bidi="hi-IN"/>
        </w:rPr>
      </w:pPr>
      <w:r w:rsidRPr="006D0007">
        <w:rPr>
          <w:rFonts w:ascii="Times New Roman" w:eastAsia="SimSun" w:hAnsi="Times New Roman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3C981" wp14:editId="61E6082B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8.05pt" to="466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" strokeweight="1.59mm">
                <v:stroke joinstyle="miter"/>
                <w10:wrap type="topAndBottom"/>
              </v:line>
            </w:pict>
          </mc:Fallback>
        </mc:AlternateContent>
      </w: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х. 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                   «2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1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» февраля 202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5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года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№ </w:t>
      </w:r>
      <w:r w:rsidR="00C4319B">
        <w:rPr>
          <w:rFonts w:ascii="Times New Roman" w:eastAsia="SimSun" w:hAnsi="Times New Roman" w:cs="Mangal"/>
          <w:sz w:val="24"/>
          <w:szCs w:val="24"/>
          <w:lang w:eastAsia="zh-CN" w:bidi="hi-IN"/>
        </w:rPr>
        <w:t>8</w:t>
      </w:r>
      <w:r w:rsidR="00717CEA">
        <w:rPr>
          <w:rFonts w:ascii="Times New Roman" w:eastAsia="SimSun" w:hAnsi="Times New Roman" w:cs="Mangal"/>
          <w:sz w:val="24"/>
          <w:szCs w:val="24"/>
          <w:lang w:eastAsia="zh-CN" w:bidi="hi-IN"/>
        </w:rPr>
        <w:t>9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РЕШЕНИЕ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Сорок </w:t>
      </w:r>
      <w:r w:rsidR="003A403D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второй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сессии пятого созыва Совета народных депутатов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 сельское поселение»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D0007" w:rsidRPr="006D0007" w:rsidTr="00AF693D">
        <w:tc>
          <w:tcPr>
            <w:tcW w:w="4928" w:type="dxa"/>
          </w:tcPr>
          <w:p w:rsidR="006D0007" w:rsidRPr="006D0007" w:rsidRDefault="006D0007" w:rsidP="006D0007">
            <w:pPr>
              <w:widowControl w:val="0"/>
              <w:jc w:val="both"/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</w:pPr>
            <w:r w:rsidRPr="006D0007"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>О результатах деятельности Главы муниципального образования «</w:t>
            </w:r>
            <w:proofErr w:type="spellStart"/>
            <w:r w:rsidRPr="006D0007"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 w:rsidRPr="006D0007"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 xml:space="preserve"> сельское поселение» и администрации муниципального образования «</w:t>
            </w:r>
            <w:proofErr w:type="spellStart"/>
            <w:r w:rsidRPr="006D0007"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 w:rsidRPr="006D0007"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 xml:space="preserve"> сельское поселение» за 202</w:t>
            </w:r>
            <w:r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>4</w:t>
            </w:r>
            <w:r w:rsidRPr="006D0007"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 xml:space="preserve"> год</w:t>
            </w:r>
            <w:r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 xml:space="preserve"> и перспективах развития на 2025</w:t>
            </w:r>
            <w:r w:rsidRPr="006D0007">
              <w:rPr>
                <w:rFonts w:ascii="Times New Roman" w:hAnsi="Times New Roman" w:cs="Mangal"/>
                <w:b/>
                <w:sz w:val="24"/>
                <w:szCs w:val="24"/>
                <w:lang w:eastAsia="zh-CN" w:bidi="hi-IN"/>
              </w:rPr>
              <w:t xml:space="preserve"> год</w:t>
            </w:r>
          </w:p>
        </w:tc>
      </w:tr>
    </w:tbl>
    <w:p w:rsidR="006D0007" w:rsidRPr="006D0007" w:rsidRDefault="006D0007" w:rsidP="006D0007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proofErr w:type="gram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заслушав и обсудив отчет о результатах деятельности Главы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 и администрации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 за 202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4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год и перспективах развития на 202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5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год,  руководствуясь Уставом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</w:t>
      </w:r>
      <w:proofErr w:type="gram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поселение» Шовгеновского района Республики Адыгея </w:t>
      </w:r>
    </w:p>
    <w:p w:rsidR="006D0007" w:rsidRPr="006D0007" w:rsidRDefault="006D0007" w:rsidP="006D0007">
      <w:pPr>
        <w:widowControl w:val="0"/>
        <w:suppressAutoHyphens/>
        <w:spacing w:before="240"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РЕШИЛ:</w:t>
      </w:r>
    </w:p>
    <w:p w:rsidR="006D0007" w:rsidRPr="006D0007" w:rsidRDefault="006D0007" w:rsidP="006D0007">
      <w:pPr>
        <w:widowControl w:val="0"/>
        <w:suppressAutoHyphens/>
        <w:spacing w:before="240"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1. Принять к сведению отчет </w:t>
      </w:r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 результатах деятельности Главы муниципального образования «</w:t>
      </w:r>
      <w:proofErr w:type="spellStart"/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и администрации муниципального образования «</w:t>
      </w:r>
      <w:proofErr w:type="spellStart"/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за 2024</w:t>
      </w:r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перспективах развития на 2025</w:t>
      </w:r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</w:t>
      </w:r>
      <w:hyperlink r:id="rId11" w:history="1">
        <w:r w:rsidRPr="006D0007">
          <w:rPr>
            <w:rFonts w:ascii="Times New Roman" w:eastAsia="SimSun" w:hAnsi="Times New Roman" w:cs="Mangal"/>
            <w:color w:val="00000A"/>
            <w:sz w:val="24"/>
            <w:szCs w:val="24"/>
            <w:lang w:eastAsia="zh-CN" w:bidi="hi-IN"/>
          </w:rPr>
          <w:t>Приложение</w:t>
        </w:r>
      </w:hyperlink>
      <w:r w:rsidRPr="006D000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к настоящему Решению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).</w:t>
      </w:r>
    </w:p>
    <w:p w:rsidR="006D0007" w:rsidRPr="006D0007" w:rsidRDefault="006D0007" w:rsidP="006D0007">
      <w:pPr>
        <w:widowControl w:val="0"/>
        <w:suppressAutoHyphens/>
        <w:spacing w:before="240"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2. Признать деятельность Главы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 и администрации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 за 202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4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год удовлетворительной. </w:t>
      </w:r>
    </w:p>
    <w:p w:rsidR="006D0007" w:rsidRPr="006D0007" w:rsidRDefault="006D0007" w:rsidP="006D0007">
      <w:pPr>
        <w:widowControl w:val="0"/>
        <w:suppressAutoHyphens/>
        <w:spacing w:before="240"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3. Обнародовать настоящее решение в соответствии с Уставом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 Шовгеновского района Республики Адыгея.</w:t>
      </w:r>
    </w:p>
    <w:p w:rsidR="006D0007" w:rsidRPr="006D0007" w:rsidRDefault="006D0007" w:rsidP="006D0007">
      <w:pPr>
        <w:widowControl w:val="0"/>
        <w:suppressAutoHyphens/>
        <w:spacing w:before="240"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4. Решение вступает в силу со дня его принятия.</w:t>
      </w:r>
    </w:p>
    <w:p w:rsidR="006D0007" w:rsidRPr="006D0007" w:rsidRDefault="006D0007" w:rsidP="006D0007">
      <w:pPr>
        <w:suppressAutoHyphens/>
        <w:spacing w:after="0" w:line="240" w:lineRule="auto"/>
        <w:rPr>
          <w:rFonts w:ascii="Calibri" w:eastAsia="SimSun" w:hAnsi="Calibri" w:cs="F"/>
          <w:kern w:val="2"/>
          <w:sz w:val="16"/>
          <w:szCs w:val="16"/>
        </w:rPr>
      </w:pPr>
      <w:r w:rsidRPr="006D0007">
        <w:rPr>
          <w:rFonts w:ascii="Calibri" w:eastAsia="SimSun" w:hAnsi="Calibri" w:cs="F"/>
          <w:kern w:val="2"/>
          <w:sz w:val="16"/>
          <w:szCs w:val="16"/>
        </w:rPr>
        <w:t xml:space="preserve"> 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Председатель Совета народных депутатов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Муниципального образования 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</w:t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В.А. Петухов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Глава  муниципального образования</w:t>
      </w:r>
    </w:p>
    <w:p w:rsidR="006D0007" w:rsidRPr="006D0007" w:rsidRDefault="006D0007" w:rsidP="006D000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«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сельское поселение»                                                                    В.П. </w:t>
      </w:r>
      <w:proofErr w:type="spellStart"/>
      <w:r w:rsidRPr="006D0007">
        <w:rPr>
          <w:rFonts w:ascii="Times New Roman" w:eastAsia="SimSun" w:hAnsi="Times New Roman" w:cs="Mangal"/>
          <w:sz w:val="24"/>
          <w:szCs w:val="24"/>
          <w:lang w:eastAsia="zh-CN" w:bidi="hi-IN"/>
        </w:rPr>
        <w:t>Шикенин</w:t>
      </w:r>
      <w:proofErr w:type="spellEnd"/>
    </w:p>
    <w:p w:rsidR="006D0007" w:rsidRPr="006D0007" w:rsidRDefault="006D0007" w:rsidP="006D0007">
      <w:pPr>
        <w:widowControl w:val="0"/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D000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ПРИЛОЖЕНИЕ</w:t>
      </w:r>
    </w:p>
    <w:p w:rsidR="006D0007" w:rsidRPr="006D0007" w:rsidRDefault="006D0007" w:rsidP="006D0007">
      <w:pPr>
        <w:widowControl w:val="0"/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 решению от 2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</w:t>
      </w:r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</w:t>
      </w:r>
      <w:r w:rsidRPr="006D000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№ </w:t>
      </w:r>
      <w:r w:rsidR="00C4319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89</w:t>
      </w:r>
      <w:bookmarkStart w:id="0" w:name="_GoBack"/>
      <w:bookmarkEnd w:id="0"/>
    </w:p>
    <w:p w:rsidR="006D0007" w:rsidRDefault="006D0007" w:rsidP="00694608">
      <w:pPr>
        <w:widowControl w:val="0"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ОТЧЕТ</w:t>
      </w:r>
    </w:p>
    <w:p w:rsidR="00694608" w:rsidRPr="00694608" w:rsidRDefault="00694608" w:rsidP="00694608">
      <w:pPr>
        <w:widowControl w:val="0"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>о результатах деятельности</w:t>
      </w:r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>Главы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 xml:space="preserve"> сельское поселение» и администрации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 xml:space="preserve"> сельское поселение» за 202</w:t>
      </w:r>
      <w:r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 xml:space="preserve"> год и перспективах развития на 202</w:t>
      </w:r>
      <w:r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zh-CN" w:bidi="hi-IN"/>
        </w:rPr>
        <w:t xml:space="preserve"> год</w:t>
      </w:r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Деятельность администрации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в минувшем периоде строилась в соответствии с действующим законодательством, с основными направлениями социально-экономической политики Российской Федерации, Республики Адыгея, Шовгеновского района, решениями Совета народных депутатов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поселение», нормативно-правовыми актами, принятыми администрацией поселения, а также в соответствии с Уставом сельского поселения и была направлена на решение вопросов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соответствии с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требованиями Федерального закона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</w:t>
      </w:r>
      <w:r w:rsidRPr="00694608">
        <w:rPr>
          <w:rFonts w:ascii="Times New Roman" w:eastAsia="Segoe UI Symbol" w:hAnsi="Times New Roman" w:cs="Times New Roman"/>
          <w:sz w:val="24"/>
          <w:szCs w:val="24"/>
          <w:lang w:eastAsia="zh-CN" w:bidi="hi-IN"/>
        </w:rPr>
        <w:t>№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131-ФЗ «Об общих принципах организации местного самоуправления в РФ», Законов Республики Адыгея от 18 декабря 2014 года № 359</w:t>
      </w:r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«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 закреплении за сельскими поселениями вопросов местного значения», от 31 марта 2005 года № 294</w:t>
      </w:r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«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 местном самоуправлении», которыми определены вопросы местного значения, полномочия органов местного самоуправления.</w:t>
      </w:r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Работа аппарата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Администрации - это исполнение полномочий по обеспечению деятельности органа местного самоуправления.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обращений, осуществления публичного освещения в СМИ деятельности и мероприятий, изменений законодательства и новостей на площадках социальных сетей системы «Паблик», работа по формированию данных в государственных системах ГИС и решение других насущных проблем и вопросов.</w:t>
      </w:r>
      <w:proofErr w:type="gramEnd"/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поселение», на котором размещаются действующие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многое другое. Основной задачей сайта является обеспечение гласности и доступности информации о деятельности органов местного самоуправления муниципального образования  и принимаемых ими решениях.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сегодняшний день администрация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исполняет 29 полномочий, из них - 14 федеральных и 15 республиканских полномочий.</w:t>
      </w:r>
    </w:p>
    <w:p w:rsidR="00694608" w:rsidRPr="00694608" w:rsidRDefault="00694608" w:rsidP="00694608">
      <w:pPr>
        <w:widowControl w:val="0"/>
        <w:suppressAutoHyphens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Территория сельского поселения составляет  9113 га, площадь населенных пунктов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– 484 га, земли сельскохозяйственного назначения – 7127 га. По территории муниципального образования проходит автодорога республиканского значения, обеспечивающая надежную связь с районным и республиканским центрами. В состав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входят 9 населенных пунктов. Все населенные пункты на территории поселения соединены асфальтированными дорогами. Протяженность дорог сельского поселения с твердым покрытием на данный момент составляет 31,8 км.</w:t>
      </w:r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proofErr w:type="gram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Численность населения сельского поселения по состоянию на 01 января 202</w:t>
      </w:r>
      <w:r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года составляет 21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39 человек, что на 8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человек 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меньше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, чем в прошлом году (на 01.01.202</w:t>
      </w:r>
      <w:r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– </w:t>
      </w:r>
      <w:r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2147 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чел.): из них пенсионеры – 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412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чел.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, дети и подростки до 18 лет – 479 чел.  За период 2024 года умер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31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человек</w:t>
      </w:r>
      <w:r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(смертность по сравнению с 2023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годом 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увеличилась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), родил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о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с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ь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2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5 детей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(на </w:t>
      </w:r>
      <w:r w:rsidR="00705705"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больше</w:t>
      </w:r>
      <w:proofErr w:type="gram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, чем в 202</w:t>
      </w:r>
      <w:r w:rsidRP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3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году).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Состав жителей многонационален, всего на территории сельского поселения проживают представители 27 национальностей, отличающихся толерантностью, уважительным отношением к национальным традициям других народов.</w:t>
      </w:r>
    </w:p>
    <w:p w:rsidR="00694608" w:rsidRPr="00694608" w:rsidRDefault="00694608" w:rsidP="00694608">
      <w:pPr>
        <w:widowControl w:val="0"/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Социальная сфера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течение отчетного периода, своевременно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оказывались меры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социальной поддержки льготным категориям населения, а именно: производилась оплата коммунальных услуг специалистам сельской местности; оформление справок для получения субсидий, детских пособий, получения дров и деловой древесины, компенсаций на печное отопление льготным категориям граждан.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 данный момент, на территории сельского поселения проживает льготных категорий граждан:</w:t>
      </w:r>
    </w:p>
    <w:p w:rsidR="00694608" w:rsidRPr="00694608" w:rsidRDefault="00694608" w:rsidP="00694608">
      <w:pPr>
        <w:widowControl w:val="0"/>
        <w:tabs>
          <w:tab w:val="left" w:pos="53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тружеников тыла – </w:t>
      </w:r>
      <w:r w:rsidR="007057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чел., 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вдов участников ВОВ- </w:t>
      </w:r>
      <w:r w:rsidR="007057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чел.,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</w:t>
      </w: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ликвидаторов ЧАЭС – 2 чел.,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-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участн</w:t>
      </w:r>
      <w:r w:rsidR="007057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иков боевых действий - 17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чел., мобилизованных -</w:t>
      </w:r>
      <w:r w:rsidR="007057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 чел. по контракту – 1</w:t>
      </w:r>
      <w:r w:rsidR="007057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чел.,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убит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боях при проведении  СВО – </w:t>
      </w:r>
      <w:r w:rsidR="00705705" w:rsidRPr="007057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чел.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участников венгерских и афганских событий – 2 чел.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состоит 502 военнообязанных, в том числе 59 человек призывного возраста.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Ежегодно, наши молодые люди пополняют ряды вооруженных сил Российской Армии, в прошедшем году, в весенний призыв 1 человек, в осенний также 1 человек, были призваны выполнить свой гражданский долг.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Отслужили и вернулись из армии 3 человека. В специальном резерве состоит 7 человек. В прошедшем году они приняли участие в проводимых Министерством обороны сборах.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На территории муниципального образования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 действуют: 1 </w:t>
      </w:r>
      <w:proofErr w:type="gram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средняя</w:t>
      </w:r>
      <w:proofErr w:type="gram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и 2 основные общеобразовательные школы, </w:t>
      </w:r>
      <w:r w:rsidR="001F496E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1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детский сад, 3 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ФАПа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, 3 почтовых отделения, 3 библиотеки, МФЦ, 1 участок электросвязи, 1 филиал сбербанка, 3 СДК, 5 магазинов.</w:t>
      </w:r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proofErr w:type="gramStart"/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>Для организации досуга и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меется 2 спортивные площадки: футбольное поле в х. 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возле МБОУ ООШ № 2 и «Физкультурно-оздоровительный мини-парк» в х. Тихонов по улице Советской, возле МБОУ КСОШ № 9, включающий в себя волейбольную, футбольную, баскетбольную, универсальную с тренажерными конструкциями в антивандальном исполнении</w:t>
      </w:r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спортивные площадки, площадку сдачи норм ГТО и крытую теннисную площадку.</w:t>
      </w:r>
      <w:proofErr w:type="gramEnd"/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На территории поселения компанией ООО «Юг-Телеком» обеспечена возможность 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lastRenderedPageBreak/>
        <w:t xml:space="preserve">подключения доступа к сети Интернет (по технологии 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FTTx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, PON). Сети проложены по территории всех населенных пунктов сельского поселения. Все желающие имеют возможность оформить договор на оказание данных услуг. В настоящее время число абонентов сети растет.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В личных подворьях, по состоянию на 01 января 202</w:t>
      </w:r>
      <w:r w:rsidR="001F496E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года содержится 36</w:t>
      </w:r>
      <w:r w:rsid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3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голов крупного рогатого скота, в том числе: коров 24</w:t>
      </w:r>
      <w:r w:rsid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6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голов, овец и коз </w:t>
      </w:r>
      <w:r w:rsid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285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голов, лошадей </w:t>
      </w:r>
      <w:r w:rsid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1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голов</w:t>
      </w:r>
      <w:r w:rsid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а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, </w:t>
      </w:r>
      <w:r w:rsidR="0070570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5460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голов птицы.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В соответствии с Уставом муниципального образования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поселение», органами местного самоуправления на территории являются: Совет народных депутатов, состоящий из 10 депутатов нового созыва, избранных в 202</w:t>
      </w:r>
      <w:r w:rsidR="001F496E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2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году и администрация сельского поселения.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В рамках нормотворческой деятельности за отчетный период Администрацией разработано и принято 56 Постановлений, в том числе</w:t>
      </w:r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D85">
        <w:rPr>
          <w:rFonts w:ascii="Times New Roman" w:eastAsia="SimSun" w:hAnsi="Times New Roman" w:cs="Mangal"/>
          <w:sz w:val="24"/>
          <w:szCs w:val="24"/>
          <w:lang w:eastAsia="zh-CN" w:bidi="hi-IN"/>
        </w:rPr>
        <w:t>7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Постановлений администрации по присвоению, изменению адресов объектам адресации с размещением информации в гос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ударственном адресном реестре, 72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Распоряжени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я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За период 202</w:t>
      </w:r>
      <w:r w:rsidR="007D574E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года, Советом наро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дных депутатов было проведено 18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заседаний, на кото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рых было рассмотрено и принято 32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решени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я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, среди них наиболее значимые: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1. О внесении изменений и дополнений в Устав муниципального образования 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2. Об исполнении бюджета муниципального образования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 за 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3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3. Об утверждении бюджета муниципального образования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 на 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 и плановый период 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6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-202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7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года.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4. Об утверждении стоимости услуг предоставляемых согласно гарантированному перечню услуг по погребению в муниципальном  образовании 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 на 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В соответствии с действующим законодательством, были проведены публичные слушания по вопросам: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- исполнения бюджета муниципального образования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ское</w:t>
      </w:r>
      <w:proofErr w:type="spellEnd"/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 за 2023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- утверждения бюджета муниципального образования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 на 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год и плановый период 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6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-202</w:t>
      </w:r>
      <w:r w:rsidR="00F73D85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7</w:t>
      </w: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года.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- внесение изменений и дополнений в Устав муниципального образования «</w:t>
      </w:r>
      <w:proofErr w:type="spellStart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 сельское поселение».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В соответствии должностными и административными регламентами, специалистами администрации ведется приём граждан, совместно с социальными работниками, проводится обследование жилищных условий на оказание адресной материальной помощи малообеспеченным и нуждающимся семьям. Оказывается помощь пенсионерам, инвалидам, по подготовке пакета документов для оформления компенсационных выплат на коммунальные услуги, пособия. Также проводится консультирование населения в пределах своей компетенции, производится выдача справок для оформления пособия на погребение, на рождение ребёнка, вступления в права наследования, купли-продажи, права собственности на земельные участки и домовладения.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Mangal"/>
          <w:sz w:val="24"/>
          <w:szCs w:val="24"/>
          <w:lang w:eastAsia="zh-CN" w:bidi="hi-IN"/>
        </w:rPr>
        <w:t xml:space="preserve">Специалистами администрации организуются и проводятся собрания в населённых пунктах поселения, общественные и культурно - массовые мероприятия, готовятся проекты постановлений и распоряжений, готовятся ответы на запросы организаций и учреждений.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За отчетный период, жителям сельского поселения выдано 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487 различных справок, 58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бытов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ых характеристик, подготовлено 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пакет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документов для оформления кредита. За 202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год, в администрацию поселения письменных обращений граждан не поступало.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20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году, в соответствии с полномочиями, проводились мероприятия в рамках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действующих 25 муниципальных Программ.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работе администрации используются компьютерные Программы межведомственного взаимодействия: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Управления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Росреестра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РФ (по вопросам земельного и кадастрового учета -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Технокад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- Муниципалитет», по регистрационному учету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Похозяйственный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учет», ведется работа по внесению и актуализации сведений в Федеральную информационную адресную систему (ФИАС) и др.</w:t>
      </w:r>
      <w:proofErr w:type="gramEnd"/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Экономика и финансы</w:t>
      </w:r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Подводя итоги работы администрации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по обеспечению финансирования всех полномочий, определенных Федеральным законом </w:t>
      </w:r>
      <w:r w:rsidRPr="00694608">
        <w:rPr>
          <w:rFonts w:ascii="Times New Roman" w:eastAsia="Segoe UI Symbol" w:hAnsi="Times New Roman" w:cs="Times New Roman"/>
          <w:sz w:val="24"/>
          <w:szCs w:val="24"/>
          <w:lang w:eastAsia="zh-CN" w:bidi="hi-IN"/>
        </w:rPr>
        <w:t>№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131-ФЗ «Об общих принципах организации местного самоуправления в РФ» за 202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 можно отметить, что главным финансовым инструментом для достижения стабильности социально-экономического развития поселения, безусловно, служит бюджет.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Специалистами администрации ведется активная работа по сокращению задолженности населения по налогам. Сотрудниками администрации сельского поселения периодически проводили рассылку и разноску налоговых извещений по адресам должников, также велась работа в телефонном режиме. </w:t>
      </w:r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Выполнение плана по доходам в целом за 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2024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 составило 14204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при плане 1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40035,31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тыс. рублей, что составляет 10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1,2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%.</w:t>
      </w:r>
    </w:p>
    <w:p w:rsidR="00694608" w:rsidRPr="00694608" w:rsidRDefault="00694608" w:rsidP="00694608">
      <w:pPr>
        <w:widowControl w:val="0"/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Выполнение плана по собственным доходам составило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6350,31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при плане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6181,38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или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102,73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%.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Наибольший удельный вес по поступлению собственных доходов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26,83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% в бюджете сельского поселения составляет земельный налог.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Фактическое поступление земельного налога за 202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 составило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1703,61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при плане 1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796,9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рублей. По данному виду налога план выполнен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 94,8 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%.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Налог на доходы физических лиц — поступило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1068,6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при плане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1000,0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выполнение составило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10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6,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86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%.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Единый сельскохозяйственный налог — поступило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1124,3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 при плане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1133,6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 или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9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9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,2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%.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Налог на имущество физических лиц — поступило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371,5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 при плане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403,1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 или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108,5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%.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Доходы от сдачи имущества поступило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108,4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при плане 13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,0 тыс. рублей.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Наше поселение, как и район, является дотационным. При плане дотации на выравнивание бюджетной обеспеченности 274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,0 тыс. рублей, средства поступили в полном объеме.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При плане дотации на прочие межбюджетные трансферты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4413,63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тыс. рублей, средства поступили в полном объеме.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комиссариаты, также поступили в полном объеме в сумме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354,3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Расходная часть бюджета выполнена на 9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%, при уточненном плане 15364,1 тыс.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рублей, расходы составили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13367,2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тыс. рублей.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202</w:t>
      </w:r>
      <w:r w:rsidR="00F73D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 также производилась оплата по передаче полномочий контрольно-счетной палате в сумме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193,7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,0 тыс. рублей, оплата за коммунальные услуги в сумме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724,54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рублей, оплата за электроэнергию по уличному освещению составила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58,25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 территории поселения работают следующие предприятия агропромышленного комплекса: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20"/>
        <w:jc w:val="center"/>
        <w:rPr>
          <w:rFonts w:ascii="Calibri" w:eastAsia="Calibri" w:hAnsi="Calibri" w:cs="Calibri"/>
          <w:sz w:val="24"/>
          <w:szCs w:val="24"/>
          <w:lang w:eastAsia="zh-CN" w:bidi="hi-IN"/>
        </w:rPr>
      </w:pPr>
    </w:p>
    <w:tbl>
      <w:tblPr>
        <w:tblW w:w="927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662"/>
        <w:gridCol w:w="1976"/>
        <w:gridCol w:w="2003"/>
        <w:gridCol w:w="2068"/>
      </w:tblGrid>
      <w:tr w:rsidR="00694608" w:rsidRPr="00694608" w:rsidTr="00694608"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Segoe UI Symbol" w:hAnsi="Times New Roman" w:cs="Times New Roman"/>
                <w:spacing w:val="-7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Наименование предприятия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Обрабатываемые земли (</w:t>
            </w:r>
            <w:proofErr w:type="gramStart"/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га</w:t>
            </w:r>
            <w:proofErr w:type="gramEnd"/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Число работающих (чел), жители поселения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Средняя заработная плата (руб.)</w:t>
            </w:r>
          </w:p>
        </w:tc>
      </w:tr>
      <w:tr w:rsidR="00694608" w:rsidRPr="00694608" w:rsidTr="00694608"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ООО «РЗК Ресурс»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1800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773E9F" w:rsidP="00694608">
            <w:pPr>
              <w:widowControl w:val="0"/>
              <w:tabs>
                <w:tab w:val="left" w:pos="616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20 </w:t>
            </w:r>
            <w:r w:rsidR="00694608" w:rsidRPr="006946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 w:bidi="hi-IN"/>
              </w:rPr>
              <w:t>000</w:t>
            </w:r>
          </w:p>
        </w:tc>
      </w:tr>
    </w:tbl>
    <w:p w:rsidR="00694608" w:rsidRPr="00694608" w:rsidRDefault="00694608" w:rsidP="00694608">
      <w:pPr>
        <w:widowControl w:val="0"/>
        <w:tabs>
          <w:tab w:val="left" w:pos="644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  <w:lang w:eastAsia="zh-CN" w:bidi="hi-IN"/>
        </w:rPr>
      </w:pPr>
    </w:p>
    <w:p w:rsidR="00694608" w:rsidRPr="00694608" w:rsidRDefault="00694608" w:rsidP="00694608">
      <w:pPr>
        <w:widowControl w:val="0"/>
        <w:tabs>
          <w:tab w:val="left" w:pos="644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  <w:lang w:eastAsia="zh-CN" w:bidi="hi-IN"/>
        </w:rPr>
      </w:pPr>
      <w:r w:rsidRPr="00694608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  <w:lang w:eastAsia="zh-CN" w:bidi="hi-IN"/>
        </w:rPr>
        <w:t xml:space="preserve">Кроме того, на территории поселения </w:t>
      </w:r>
      <w:r w:rsidRPr="00694608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  <w:lang w:eastAsia="zh-CN" w:bidi="hi-IN"/>
        </w:rPr>
        <w:t>расположены 14 крестьянско-фермерских хозяйств, возделывающих 2169,4 Га земли:</w:t>
      </w:r>
    </w:p>
    <w:p w:rsidR="00694608" w:rsidRPr="00694608" w:rsidRDefault="00694608" w:rsidP="00694608">
      <w:pPr>
        <w:widowControl w:val="0"/>
        <w:tabs>
          <w:tab w:val="left" w:pos="644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  <w:lang w:eastAsia="zh-CN" w:bidi="hi-IN"/>
        </w:rPr>
      </w:pPr>
    </w:p>
    <w:tbl>
      <w:tblPr>
        <w:tblW w:w="927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3314"/>
        <w:gridCol w:w="5194"/>
      </w:tblGrid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Segoe UI Symbol" w:eastAsia="Segoe UI Symbol" w:hAnsi="Segoe UI Symbol" w:cs="Segoe UI Symbol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Наименование КФХ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Количество обрабатываемых земель, </w:t>
            </w:r>
            <w:proofErr w:type="gram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Тлевцежев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А.Ю.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71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Антоненко В.В.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236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Заика А.В.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75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Багов Б.А.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108,8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Цеев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К.Д.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90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Красножен А.В.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247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Крамаренко В.В.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Нарожный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А.В.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263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Шикенина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И.С.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351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Хачемизов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8,6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Дзеукожев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М.К.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563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Чижева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Л.В.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18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Диденко В.Н.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66</w:t>
            </w:r>
          </w:p>
        </w:tc>
      </w:tr>
      <w:tr w:rsidR="00694608" w:rsidRPr="00694608" w:rsidTr="00694608">
        <w:trPr>
          <w:trHeight w:val="1"/>
        </w:trPr>
        <w:tc>
          <w:tcPr>
            <w:tcW w:w="762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694608" w:rsidRPr="00694608" w:rsidRDefault="00694608" w:rsidP="0069460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proofErr w:type="spellStart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Шнахов</w:t>
            </w:r>
            <w:proofErr w:type="spellEnd"/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А.К.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94608" w:rsidRPr="00694608" w:rsidRDefault="00694608" w:rsidP="0069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69460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41</w:t>
            </w:r>
          </w:p>
        </w:tc>
      </w:tr>
    </w:tbl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 территории поселения имеется цех по выращиванию и переработке птицы ИП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Шепелев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».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202</w:t>
      </w:r>
      <w:r w:rsidR="00773E9F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 администрация муниципального образования продолжила работу, начатую еще в 2016 году по привлечению инвесторов.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Благоустройство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За отчетный период, за счет бюджетных средств и привлеченных сре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дств сп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онсоров, а также в рамках выполнения мероприятий Федеральных целевых Программ, на территории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проведены следующие виды работ по благоустройству:</w:t>
      </w:r>
    </w:p>
    <w:p w:rsid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на регулярной основе производилась очистка и уборка придорожных полос автодорог общего пользования республиканского, и местного значения;</w:t>
      </w:r>
    </w:p>
    <w:p w:rsidR="00B90C7B" w:rsidRPr="00B90C7B" w:rsidRDefault="00B90C7B" w:rsidP="00B90C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</w:t>
      </w:r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на территории муниципального образования «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реализуются следующие проекты: </w:t>
      </w:r>
    </w:p>
    <w:p w:rsidR="00B90C7B" w:rsidRPr="00B90C7B" w:rsidRDefault="00B90C7B" w:rsidP="00B90C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«Модернизация уличного освещения в 9 населенных пунктах 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Дукмасовского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сельского поселения (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Тихонов, Орехов, Пентюхов, 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Чикалов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Мамацев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Мокроназаров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Пикалин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Касаткин» - в рамках реализации муниципальной программы «Энергосбережение и повышение энергетической эффективности на территории муниципального образования «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Шовгеновского района Республики Адыгея на 2024-2026 годы», утвержденной постановлением от 30.11.2023 № </w:t>
      </w:r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55-п, в рамках подпрограммы «Энергосбережение и повышение энергетической эффективности» государственной программы Республики Адыгея</w:t>
      </w:r>
      <w:proofErr w:type="gram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«Обеспечение доступным и комфортным жильем и коммунальными услугами», утвержденной постановлением Кабинета Министров Республики Адыгея от 26.12.2019  № 322.</w:t>
      </w:r>
    </w:p>
    <w:p w:rsidR="00B90C7B" w:rsidRPr="00694608" w:rsidRDefault="00B90C7B" w:rsidP="00B90C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соответствии с Соглашением между администрациями муниципальных образований «Шовгеновский район» и «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о предоставлении в 2024 году из районного бюджета муниципального образования «Шовгеновский район» субсидии муниципальному образованию «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 Шовгеновского района» на мероприятия по энергосбережению и повышению энергетической эффективности, общий объем бюджетных ассигнований, предусматриваемых в бюджете муниципального образования «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 Шовгеновского района» на финансовое обеспечение расходных</w:t>
      </w:r>
      <w:proofErr w:type="gram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обязательств, составляет в 2024 году 2 600 000 (Два миллиона шестьсот тысяч) рублей 00 копеек, из которых размер Субсидии, предоставляемой из районного бюджета муниципального образования «Шовгеновский район» бюджету муниципальному образованию «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 Шовгеновского района составляет в 2024 году                    2 300 000 (два миллиона триста тысяч) рублей 00 копеек, </w:t>
      </w:r>
      <w:proofErr w:type="spellStart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софинансирование</w:t>
      </w:r>
      <w:proofErr w:type="spell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указанных мероприятий за счет средств поселения - 300 000 (Триста тысяч</w:t>
      </w:r>
      <w:proofErr w:type="gramEnd"/>
      <w:r w:rsidRP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 рублей 00 копеек.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в рамках ведомственного проекта «Современный облик сельских территорий» государственной программы Российской Федерации «Комплексное развитие сельских территорий» </w:t>
      </w:r>
      <w:r w:rsid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ведется подготовка к началу работ по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строительств</w:t>
      </w:r>
      <w:r w:rsid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2 этапа объекта «Строительство системы водоснабжения в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х.х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Орехов, Тихонов,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Пентюхов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Чикалов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Шовгеновский район, Республика Ады</w:t>
      </w:r>
      <w:r w:rsid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гея. «Водозаборные сооружения».</w:t>
      </w:r>
    </w:p>
    <w:p w:rsidR="00773E9F" w:rsidRDefault="00773E9F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Мероприятия по дорожной деятельности: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- в зимний период проводилась очистка дорог от наледи и снега, подсыпка ГПС (50м</w:t>
      </w:r>
      <w:r w:rsidRPr="006946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hi-IN"/>
        </w:rPr>
        <w:t xml:space="preserve">3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ПС закуплено за счет внебюджетных средств). В основном работы производятся силами и средствами наших депутатов;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- произведена модернизация уличного освещения в населенных пунктах на сумму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2600,0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руб.;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закупка дизельного топлива для содержания дорог (очистки дорог в зимнее время снегоуборочной техникой, вывоза мусора тракторной техникой) на сумму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112,7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руб.;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рамках участия во Всероссийских экологических субботниках на территории хуторов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Тихонов были высажены саженцы липы и вербы и других деревьев. Работы по озеленению продолжатся и далее.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В осеннее - весенний период проводились плановые и внеплановые мероприятия по уборке территории сельского поселения от сухостоя, мусора, валежника, вырубка поросли и сорной растительности, проводилась неоднократная побелка деревьев (известь закуплена и доставлена за счет внебюджетных средств).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В летний период производились работы по обработке пастбищ, покосу травы, поросли амброзии и другой сорной растительности, уборке мусора;</w:t>
      </w:r>
    </w:p>
    <w:p w:rsidR="00773E9F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в преддверии православного праздника Пасхи, на кладбищах сельского поселения были проведены субботники по очистке территории от мусора, сухостоя, сорной растительности. На территории каждого кладбища производи</w:t>
      </w:r>
      <w:r w:rsidR="00773E9F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лся спил деревьев, вывоз мусора;</w:t>
      </w:r>
    </w:p>
    <w:p w:rsidR="00694608" w:rsidRPr="00694608" w:rsidRDefault="00773E9F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в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преддверии майских праздников производилась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уборк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общественных и частных территорий.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Необходимо отметить активное участие жителей всех населенных пунктов сельского поселения, принимавших посильное участие в субботниках по санитарной очистке, побелке деревьев и вырубке сухостоев, а также слаженную работу тружеников бюджетной сферы - работников Администрации, коллективов сельских Домов культуры, школ, почтовых отделений, медпунктов, временных безработных, и др. жителей, к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которым я лично обращался с предложением принять участие в субботнике.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Люди с пониманием выходили на работы и наводили порядок.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Еще одна особенность нашего сельского поселения в вопросе поддержания чистоты – это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бесконтейнерный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сбор бытовых отходов. Таким образом, территория нашего сельского поселения избавлена от гор мусора в баках, рядом с баками, охраняющих его собак, грызунов и неприятного запаха.</w:t>
      </w:r>
      <w:r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</w:p>
    <w:p w:rsidR="007D574E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202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году, с региональным оператором ООО «Эко-Центр» был перезаключен договор на вывоз мусора (ТБО) от населения и учреждений сельского поселения. Периодичность вывоза ТКО составляет 1 раз в неделю. Администрация поселения со своей стороны отслеживает точность прохождения спецтранспорта по маршруту. </w:t>
      </w:r>
      <w:r w:rsid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есь собранный мусор увозится на лицензированные полигоны вне территории поселения. Специалистами администрации постоянно ведется разъяснительная работа с населением о недопустимости организации стихийных свалок мусора.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территории нашего поселения, к сожалению, на данный момент не решена проблема передачи имеющихся водопроводных сетей на обслуживание. В связи с этим, при возникновении аварийной ситуации, неисправности на объекте водопровода, сохраняется необходимость привлечения средств населения, пользующегося водопроводной водой, осуществление ремонта своими силами.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Общая стоимость электроэнергии затраченной в прошедшем году на функционирование водопроводных сетей в хуторе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составила 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480,7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тыс. рублей. В настоящее время вопрос водоснабжения населенных пунктов сельского поселения стоит очень остро. Этот вопрос является первоочередным при планировании социально-экономического развития сельского поселения. Вопрос обеспечения устойчивого водоснабжения на территории сельского поселения имеет большое значение для его жителей, а также входит в Перечень поручений Президента Российской Федерации. Администрация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принимает все возможные меры для решения вопросов бесперебойного обеспечения населения питьевой водой надлежащего качества, организации водоснабжения территории всего сельского поселения.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территории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Дукмасовского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сельского поселения централизованное водоснабжение организовано в х.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частично х. Тихонов. Новые сети водоснабжения, как сказано выше проложены, объе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кт стр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оителями сдан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но водоснабжение граждан будет возможно только по окончании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2-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го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этап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 строительства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строительства и введения в эксплуатацию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водозаборов.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течение 202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года, регулярно (1 раз в месяц), филиалом ФБУЗ Центра гигиены и эпидемиологии в РА в Шовгеновском районе проводится проверка качества поставляемой населению водопроводной воды, санитарного содержания водопроводного хозяйства. За эти исследования произведена оплата на сумму </w:t>
      </w:r>
      <w:r w:rsidR="00BF7441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29524,8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рубля. Результаты исследований размещаются на официальном сайте муниципального образования в разделе «ЖКХ». По данным исследований, качество воды соответствует нормам.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Жители других населенных пунктов сельского поселения вынуждены пользоваться личными скважинами и колодцами, употребляя воду не всегда хорошего качества.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 целью решения проблемы водоснабжения сельского поселения разработана и принята муниципальная Программа «Чистая вода» (2023-2025 годы). В ее рамках планируется провести мероприятия по организации водоснабжения на территории всех хуторов сельского поселения. Система водоснабжения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включена в федеральную программу «Экология» по подпрограмме «Чистая вода» на 2019-2024 гг.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адрес руководства района направлены расчетные данные о потребности финансирования на производство проектных работ по организации водоснабжения, устройства уличного освещения населенных пунктов сельского поселения. Стоимость проектирования 1 км водовода состав</w:t>
      </w:r>
      <w:r w:rsidRPr="00694608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ляет около 420 тыс. рублей. Общая сумма на </w:t>
      </w:r>
      <w:r w:rsidRPr="00694608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lastRenderedPageBreak/>
        <w:t>проектирование составит 2144,83 тыс.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рублей. Бюджет сельского поселения такими резервами не располагает.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Охрана общественного порядка, предупреждение и ликвидация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чрезвычайных ситуаций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 встречах с жителями поселения мы постоянно поднимаем вопросы пожарной безопасности, но, не смотря на это в 202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 на территории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произошло 2 ландшафтных пожара. Основная причина возгораний - выжигание пожнивных остатков на территории убранных полей, сжигание мусора, неосторожное обращение с огнем. Жертв и пострадавших нет.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Несмотря на то, что ландшафтные пожары были вовремя ликвидированы и не нанесли существенного материального ущерба, они наносят немалый вред экосистеме, почвенному покрову, а также могут спровоцировать перенесение огненной стихии на территорию жилой застройки. В администрации сельского поселения имеются первичные средства пожаротушения, создана и работает комиссия по ГО, ЧС и пожарной безопасности. В соответствии с принятыми муниципальными Программами в 202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 приобретены и доведены до сведения населения Памятки по пожарной безопасности, по предупреждению терроризма, правила поведения при совершении теракта. В соответствии с рекомендациями Главного Управления МЧС по Республике Адыгея, при возникновении пожароопасного периода, Распоряжением Главы поселения вводится особый пожароопасный режим, неоднократно производилось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оканавливание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канавокопателем всех населенных пунктов сельского поселения, участки лесополосы отделялись противопожарной минерализованной полосой. При угрозе наводнений производилось наблюдение за уровнем воды в водоёмах. Актуальная информация регулярно размещается в СМИ.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Общественную безопасность на территории сельского поселения осуществляет участковый уполномоченный инспектор полиции.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 целью принятия профилактических мер, в администрации созданы:</w:t>
      </w:r>
    </w:p>
    <w:p w:rsidR="00694608" w:rsidRPr="00694608" w:rsidRDefault="00694608" w:rsidP="0069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1. Антитеррористическая комиссия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по противодействию террористической и экстремистской деятельности» на территории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поселение». За отчетный период комиссией проведено 4 заседания по вопросам профилактики терроризма и экстремизма, а также минимизации и (или) ликвидации последствий проявлений терроризма и экстремизма,</w:t>
      </w:r>
      <w:r w:rsidR="00BF744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межконфессиональных отношений.</w:t>
      </w:r>
    </w:p>
    <w:p w:rsidR="00694608" w:rsidRPr="00694608" w:rsidRDefault="00694608" w:rsidP="0069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Антитеррористическая комиссия осуществляет работу по профилактике терроризма и экстремизма, а также минимизации и (или) ликвидации последствий проявлений терроризма и экстремизма среди населения, по выполнению мероприятий, входящих в Программу.</w:t>
      </w:r>
      <w:r w:rsidRPr="0069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заседаний рассматривались вопросы состояния межэтнических отношений на территории сельского поселения, недопущения фактов напряженности в межнациональных отношениях; эффективности участия добровольной народной дружины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охране общественного порядка и необходимости использования их потенциала в работе по противодействию проявлениям межнациональных конфликтов; меры профилактики возникновения проявлений терроризма и экстремизма в сети интернет, в социальных сетях, антитеррористические меры при проведении массовых мероприятий в сельском поселении.</w:t>
      </w:r>
    </w:p>
    <w:p w:rsidR="00694608" w:rsidRPr="00694608" w:rsidRDefault="00694608" w:rsidP="0069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(профилактики) терроризма и экстремизма, формирования устойчивого толерантного поведения в сфере межнациональных и межконфессиональных отношений, с жителями сельского поселения специалисты администрации проводят разъяснительные беседы, по результатам бесед составлены акты, вручены памятки. Особое внимание уделяется гражданам, прибывающим из стран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ближнего зарубежья, бывших стран СНГ, Украины, ЛНР, ДНР. Специалистом администрации постоянно ведется мониторинг лиц, прибывающих на территорию сельского поселения.</w:t>
      </w:r>
    </w:p>
    <w:p w:rsidR="00694608" w:rsidRPr="00694608" w:rsidRDefault="00694608" w:rsidP="0069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вновь прибывших ведется разъяснительная работа по воспитанию толерантного поведения, по недопустимости межконфессиональных и межнациональных конфликтов. За истекший период 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жды в администрации проводились совместные встречи представителей азербайджанской диаспоры, проживающей на территории сельского поселения с представителями антитеррористического комитета РА, руководством района и главой сельского поселения. На встрече поднимались вопросы ассимиляции представителей азербайджанской национальности, взаимодействия и содействия с местными властями, соблюдения норм законодательства и налаживания добрососедских отношений и сотрудничества, необходимости сохранения мира и спокойствия, решения насущных проблем и конфликтов в рамках Российского законодательства, мирно, недопущения протестных акций, религиозного экстремизма и национального сепаратизма. </w:t>
      </w:r>
    </w:p>
    <w:p w:rsidR="00694608" w:rsidRPr="00694608" w:rsidRDefault="00694608" w:rsidP="0069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воспитательной работе с молодежью. Доля воспитанников школ и дошкольников - представителей азербайджанской национальности постоянно растет. На базе учебных заведений проводятся лекции и открытые уроки с участием представителей правоохранительных органов, специалистов администрации на тему межнациональных отношений, уважения к традициям народов, недопущения розни на национальной почве и радикальных настроений, проявления экстремизма и сепаратизма.</w:t>
      </w:r>
    </w:p>
    <w:p w:rsidR="00694608" w:rsidRPr="00694608" w:rsidRDefault="00694608" w:rsidP="0069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населения всех хуторов муниципального образования, проявления действий экстремистского характера, террористической направленности, национальной нетерпимости не отмечено. В связи с этим, информирование правоохранительных органов и органов государственной власти о таких фактах не производилось.</w:t>
      </w:r>
    </w:p>
    <w:p w:rsidR="00694608" w:rsidRPr="00694608" w:rsidRDefault="00694608" w:rsidP="0069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проявлений экстремизма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терроризма на территории поселения обсуждались также в ходе проведения собраний граждан. По итогам собраний было решено продолжить профилактическую работу в данном направлении. </w:t>
      </w:r>
    </w:p>
    <w:p w:rsidR="00694608" w:rsidRPr="00694608" w:rsidRDefault="00694608" w:rsidP="0069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принимают активное участие в обследовании в составе комиссии при проведении представителями органов государственной власти комплекса мероприятий по проверке антитеррористической защищенности объектов массового пребывания граждан, учреждений образования.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2. Административная комиссия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масовское</w:t>
      </w:r>
      <w:proofErr w:type="spellEnd"/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поселение». В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рамках административной работы по предупреждению правонарушений на территории муниципального образования, членами административной комиссии проводились личные беседы с гражданами, административных протоколов не составлено. Гражданам направлялись предупреждения и предостережения о недопустимости совершения правонарушений.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3. Антинаркотическая комиссия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муниципального образования 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поселение». За отчетный период проведено 4 заседания. Комиссия осуществляет свою работу в рамках выполнения мероприятий Муниципальной программы «Комплексные меры профилактики н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аркомании и алкоголизма» на 2023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-202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годы. В учебных заведениях сельского поселения проводились беседы и лекции профилактической направленности по снижению степени актуальности проблемы наркомании, токсикомании, алкоголизма,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табакокурения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других острых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медико-социальных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проблем.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средствах массовой информации и на официальном сайте муниципального образования в течение отчетного периода, регулярно публиковались материалы по предупреждению проявлений терроризма, наркомании, по пожарной безопасности и другим острым темам. Общие расходы за публикации составили на официальном сайте муниципального образования «Власть-инфо»-16800 рублей.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В соответствии с Постановлением администрации муниципального образования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об определении мест отбывания наказания в виде исправительных работ по месту жительства осужденного и в соответствии с Положением о взаимодействии с уголовно-исполнительной инспекцией, для отбывания наказания в виде обязательных работ на безвозмездной основе, Управлением ФСИН РА по Шовгеновскому району в 202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 в администрацию сельского поселения граждан направлено не было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Шовгеновским районным отделением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судебных приставов направлено 2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человека на отбывание административного наказания в виде обязательных работ. Все они выполняли работы по благоустройству и санитарной очистке территории поселения.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рамках межведомственного взаимодействия с ГИБДД по Республике Адыгея, с лицами, лишенными права управления ТС пров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одились профилактические беседы.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Культура, спорт, молодежная политика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Для организации досуга населения и приобщения жителей поселения к творчеству, культурному развитию на территории поселения работает 3 СДК.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территории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Дукмасовского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сельского поселения приняты и действуют муниципальные Программы «Патриотическое воспитание молодежи в муниципальном образовании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на 2023-2025 годы» и «Развитие физической культуры и массового спорта в муниципальном образовании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 Шовгеновского района Республики Адыгея на 2023-2025 годы».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Коллективы СДК, библиотек и образовательных учреждений сельского поселения в тесном взаимодействии с администрацией, проводили запланированные мероприятия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согласно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утвержденного плана. </w:t>
      </w:r>
    </w:p>
    <w:p w:rsidR="00694608" w:rsidRPr="00694608" w:rsidRDefault="0032643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соответствии с планом, в 2024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 проводились следующие мероприятия.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честь освобождения Республики Адыгея от немец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ких захватчиков, 18 февраля 2024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года было проведено возложение цветов к мемориалу павшим в годы великой отечественной войны, в котором приняли участие учащиеся МБОУ ООШ № 2 х.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МБОУ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Краснобашненской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СОШ № 9» х. Тихонов, МБОУ ООШ № 12 х.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Мамацев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Проводилась активная работа тимуровских отрядов, созданных из числа учащихся 7-8 классов, на базе МБОУ СОШ № 9, под руководством учителя химии Кириченко Н.А. В библиотеках МО «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Дукмасовкое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сельское поселение», в преддверии празднования Дня Победы, были организованы тематические выставки книг, фотографии, личные письма и документы земляков - фронтовиков, под названием: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«Гордимся вами, земляки!», акции «Свеча памяти», «Бессмертный полк», «Георгиевская ленточка», «Солдатская каша», мотопробеги, в том числе регионального масштаба с возложением цветов к мемориалам и памятным местам, обелискам, праздничные концерты, салют. </w:t>
      </w:r>
      <w:proofErr w:type="gramEnd"/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школах сельского поселения организовывались ярмарки, выручка от которых была направлена на поддержку бойцов СВО. Проводились акции «Письмо солдату», в рамках которой дети писали свои мысли и пожелания бойцам СВО, которые находятся на боевых постах. Администрацией поселения организовывались неоднократные гуманитарные выезды в больницы и госпиталя г. Майкопа с детскими концертами и угощениями. Проводились на базе СДК встречи детей и молодежи с участниками СВО, с демонстрацией снаряжения солдата, рассказами и ответами на вопросы. При СОШ № 9 организована «Зона добра», где дети присоединяются к плетению маскировочных сетей.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Бригадами в составе учащихся сельских школ, клубных работников и представителей администрации поселения были организованы адресные объезды тружеников тыла, вдов участников ВОВ, семей участников СВО с концертными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программами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приуроченными к государственным праздникам (1,9 Мая, 8 марта 23 февраля, НГ) и вручением подарков (праздничных продуктовых наборов). 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Незаменимую финансовую поддержку при организации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массовых мероприятий, посвященных чествованию подвига советского народа в ВОВ ежегодно оказывают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наши 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фермеры и предприниматели сельского поселения. Большая им благодарность от всех жителей поселения.</w:t>
      </w:r>
    </w:p>
    <w:p w:rsid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Между учащимися школ поселения проведены конкурсы: рисунков, сочинений посвященных Дню Победы, стихов и песен. На базе СДК и учебных заведений сельского поселения также были организованы конкурсы и фестивали, тематические вечера и праздничные концерты патриотической направленности.</w:t>
      </w:r>
    </w:p>
    <w:p w:rsidR="006265DA" w:rsidRDefault="00DF68CE" w:rsidP="000224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Главой сельского поселения оказано содействие руководству 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МБОУ ООШ №2 х.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достижении</w:t>
      </w:r>
      <w:r w:rsidR="00022434" w:rsidRPr="0002243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соглашения с Майкопским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22434" w:rsidRPr="0002243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государственным технологическим университетом 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 сетевом взаимодействии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22434" w:rsidRPr="0002243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части обучения обучающихся 7-9 классов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22434" w:rsidRPr="0002243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навыкам работы с беспилотными летательными аппаратами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изучения </w:t>
      </w:r>
      <w:r w:rsidR="00022434" w:rsidRPr="0002243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предмета «Основы безопасности и защиты Родины».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Дети с удовольствием посещают занятия на базе МГТУ, </w:t>
      </w:r>
      <w:r w:rsidR="00900A4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общаются в новой среде, изучают новые технологии непосредственно под руководством специалистов, развивают свой кругозор и навыки и, возможно, принимают решение – «Кем стать? Где продолжить обучение? Какую профессию выбрать после окончания школы?».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Большое внимание уделялось организации внешкольного досуга детей, кружков и объединений по интересам, привлечения молодежи для участия в праздничных мероприятиях и концертах. Среди учащихся образовательных учреждений сельского поселения проведены также спортивные соревнования, межшкольные футбольные матчи, приуроченные к празднованию Дня Победы. На базе сельских школ ведется активное волонтерское и тимуровское движение.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Хотелось бы выразить особую благодарность коллективам наших школ. Педагоги и учащиеся школ - всегда самые активные участники всех мероприятий. Память о прошлом, почет и уважение к старшим служит залогом правильного патриотического воспитания молодежи, прививает им истинные ценности.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694608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ИТОГИ РАБОТЫ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Подводя итоги работы за 202</w:t>
      </w:r>
      <w:r w:rsidR="006C771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69460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год, хочется отметить, что вся работа Администрации сельского поселения по решению вопросов местного значения осуществляется в постоянном взаимодействии с депутатами Совета народных депутатов муниципального образования «</w:t>
      </w:r>
      <w:proofErr w:type="spellStart"/>
      <w:r w:rsidRPr="0069460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Дукмасовское</w:t>
      </w:r>
      <w:proofErr w:type="spellEnd"/>
      <w:r w:rsidRPr="0069460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сельское поселение»,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t>Как сказано выше, за сельскими поселениями закреплено 29 полномочий, которые в полном объеме мы не в состоянии осуществить, по причине недостаточной наполняемости бюджета поселения. Было бы целесообразно произвести перераспределение средств доходов сельских поселений. В связи с последними изменениями в Бюджетном кодексе, принять такое решение на районном уровне возможно.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t>Так же необходимо обозначить проблемы, препятствующие осуществлению эффективного управления сельскими поселениями: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t xml:space="preserve">-слабая налоговая база; 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t>-низкий уровень собственных доходов местных бюджетов;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t>-отсутствие государственных программ по привлечению управленческих кадров на село, аналогичных государственным программам «Земский доктор», «Молодой специалист на селе» и пр.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t>-несовершенство нормативно-правовой базы в вопросах местного значения, которые возложены на органы власти сельских поселений.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</w:t>
      </w:r>
      <w:r w:rsidRPr="00694608"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>всех тех, кто работает в поселении, будет направлена на решение одной задачи - сделать сельское поселение лучше.</w:t>
      </w:r>
    </w:p>
    <w:p w:rsidR="00694608" w:rsidRPr="00694608" w:rsidRDefault="006C771C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Н</w:t>
      </w:r>
      <w:r w:rsidR="00694608" w:rsidRPr="00694608">
        <w:rPr>
          <w:rFonts w:ascii="Times New Roman" w:eastAsia="SimSun" w:hAnsi="Times New Roman" w:cs="Times New Roman"/>
          <w:kern w:val="2"/>
          <w:sz w:val="24"/>
          <w:szCs w:val="24"/>
        </w:rPr>
        <w:t>есмотря на ряд решенных вопросов, важными проблемами остаются дальнейшее развитие и благоустройство поселения.</w:t>
      </w:r>
    </w:p>
    <w:p w:rsidR="00694608" w:rsidRPr="00694608" w:rsidRDefault="00694608" w:rsidP="0069460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  <w:r w:rsidRPr="0069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В планы работы администрации на 202</w:t>
      </w:r>
      <w:r w:rsidR="006C77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5</w:t>
      </w:r>
      <w:r w:rsidRPr="0069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 xml:space="preserve"> год входят: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 w:bidi="hi-IN"/>
        </w:rPr>
      </w:pP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1. Продолжить работу по организации водоснабжения на территории поселения. Реализовать 2 этап строительства по объекту «Строительство системы водоснабжения в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х.х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Орехов, Тихонов,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Пентюхов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Чикалов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Шовгеновский район, Республика Ад</w:t>
      </w:r>
      <w:r w:rsid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ыгея. «Водозаборные сооружения»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B90C7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№ 1 и № 2.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202</w:t>
      </w:r>
      <w:r w:rsidR="006C771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году, в рамках участия в федеральных программах по благоустройству сельских территорий, планируется начать строительство водопроводных сетей в остальных хуто</w:t>
      </w:r>
      <w:r w:rsidR="006C771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рах сельского поселения.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7D574E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2. Продолжить работу </w:t>
      </w:r>
      <w:r w:rsidRP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 энергосбережению и повышению энергетической эффективности</w:t>
      </w:r>
      <w:r w:rsidRPr="007D574E">
        <w:t xml:space="preserve"> </w:t>
      </w:r>
      <w:r w:rsidRP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рамках подпрограммы «Энергосбережение и повышение энергетической эффективности» государственной программы Республики Адыгея «Обеспечение доступным и комфортным жильем и коммунальными услугами»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7D574E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3. Начать работы по реконструкц</w:t>
      </w:r>
      <w:r w:rsidR="0032643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ии детской игровой площадки в хуторе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Мамацев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Начать работы по строительству нового </w:t>
      </w:r>
      <w:proofErr w:type="spellStart"/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ФАПа</w:t>
      </w:r>
      <w:proofErr w:type="spellEnd"/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хуторе </w:t>
      </w:r>
      <w:proofErr w:type="spellStart"/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Мамацев</w:t>
      </w:r>
      <w:proofErr w:type="spellEnd"/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Начать работы по строительству врачебной амбулатории в хуторе Орехов.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6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На основании заключений экспертов, в соответствии с паспортами автодорог решить вопрос о включении автодорог, не соответствующих установленным нормативам в проекты по реконструкции в рамках федеральной программы по комплексному развитию сельских территорий.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7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Провести дальнейшую работу по максимальному привлечению доходов в бюджет поселения.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8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Проводить постоянную работу по улучшению инвестиционного климата и привлечению частных инвестиций в экономику сельского поселения, расширения сфер бизнеса на территории поселения и соответственно организации новых рабочих мест, решения проблемы занятости населения, в том числе: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на строительство предприятия по изготовлению водопроводных труб ПВХ различного ассортимента в хуторе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Дукмасов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;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на строительство предприятия по производству и розливу питьевой бутилированной воды в хуторах Тихонов, </w:t>
      </w:r>
      <w:proofErr w:type="spell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Мокроназаров</w:t>
      </w:r>
      <w:proofErr w:type="spell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9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Продолжить работы по благоустройству, озеленению, и поддержанию порядка на территории поселения в целом.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10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  <w:r w:rsidR="00694608" w:rsidRPr="0069460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Внедрять на территории сельского поселения инициативное бюджетирование, оказывать поддержку его 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развитию, привлекать наиболее широкое число граждан для участия в процедурах инициативного бюджетирования, оказывать информационную поддержку.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11.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Продолжить вести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694608" w:rsidRPr="00694608" w:rsidRDefault="007D574E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12</w:t>
      </w:r>
      <w:r w:rsidR="00694608"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Реализовать комплекс мер, направленных на обеспечение противопожарной безопасности населения.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</w:t>
      </w:r>
      <w:r w:rsid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Способствовать увеличению количества жителей, ведущих здоровый образ жизни, занимающихся физической культурой и спортом, особенно подростков и молодежи.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</w:t>
      </w:r>
      <w:r w:rsid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Продолжить работу по вовлечению молодежи в социально полезную деятельность.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</w:t>
      </w:r>
      <w:r w:rsid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Создать условия для привлечения квалифицированных медицинских кадров (врачей). Решить вопрос об обеспечении их жильем, рабочим местом.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1</w:t>
      </w:r>
      <w:r w:rsid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6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Решить вопрос о реализации готового проекта благоустройства центрального парка возле мемориала </w:t>
      </w:r>
      <w:proofErr w:type="gramStart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павшим</w:t>
      </w:r>
      <w:proofErr w:type="gramEnd"/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ВОВ, продумать возможность снижения стоимости работ, возможности удешевления проекта.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</w:t>
      </w:r>
      <w:r w:rsidR="007D57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7</w:t>
      </w:r>
      <w:r w:rsidRPr="0069460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694608" w:rsidRPr="00694608" w:rsidRDefault="00694608" w:rsidP="006946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6333AD" w:rsidRPr="006333AD" w:rsidRDefault="006333AD" w:rsidP="006333AD"/>
    <w:sectPr w:rsidR="006333AD" w:rsidRPr="006333AD" w:rsidSect="001F496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D0" w:rsidRDefault="00630ED0" w:rsidP="001F496E">
      <w:pPr>
        <w:spacing w:after="0" w:line="240" w:lineRule="auto"/>
      </w:pPr>
      <w:r>
        <w:separator/>
      </w:r>
    </w:p>
  </w:endnote>
  <w:endnote w:type="continuationSeparator" w:id="0">
    <w:p w:rsidR="00630ED0" w:rsidRDefault="00630ED0" w:rsidP="001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D0" w:rsidRDefault="00630ED0" w:rsidP="001F496E">
      <w:pPr>
        <w:spacing w:after="0" w:line="240" w:lineRule="auto"/>
      </w:pPr>
      <w:r>
        <w:separator/>
      </w:r>
    </w:p>
  </w:footnote>
  <w:footnote w:type="continuationSeparator" w:id="0">
    <w:p w:rsidR="00630ED0" w:rsidRDefault="00630ED0" w:rsidP="001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2601"/>
      <w:docPartObj>
        <w:docPartGallery w:val="Page Numbers (Top of Page)"/>
        <w:docPartUnique/>
      </w:docPartObj>
    </w:sdtPr>
    <w:sdtEndPr/>
    <w:sdtContent>
      <w:p w:rsidR="001F496E" w:rsidRDefault="001F49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19B">
          <w:rPr>
            <w:noProof/>
          </w:rPr>
          <w:t>2</w:t>
        </w:r>
        <w:r>
          <w:fldChar w:fldCharType="end"/>
        </w:r>
      </w:p>
    </w:sdtContent>
  </w:sdt>
  <w:p w:rsidR="001F496E" w:rsidRDefault="001F49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6183"/>
    <w:multiLevelType w:val="multilevel"/>
    <w:tmpl w:val="6608C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95"/>
    <w:rsid w:val="00022434"/>
    <w:rsid w:val="001862EB"/>
    <w:rsid w:val="001F496E"/>
    <w:rsid w:val="0032643E"/>
    <w:rsid w:val="003A403D"/>
    <w:rsid w:val="004E50D3"/>
    <w:rsid w:val="006265DA"/>
    <w:rsid w:val="00630ED0"/>
    <w:rsid w:val="006333AD"/>
    <w:rsid w:val="00694608"/>
    <w:rsid w:val="006C771C"/>
    <w:rsid w:val="006D0007"/>
    <w:rsid w:val="00705705"/>
    <w:rsid w:val="00717CEA"/>
    <w:rsid w:val="00773E9F"/>
    <w:rsid w:val="007D574E"/>
    <w:rsid w:val="00844D95"/>
    <w:rsid w:val="00900A48"/>
    <w:rsid w:val="009C0F60"/>
    <w:rsid w:val="009E67EE"/>
    <w:rsid w:val="00A37884"/>
    <w:rsid w:val="00B90C7B"/>
    <w:rsid w:val="00BF7441"/>
    <w:rsid w:val="00C01928"/>
    <w:rsid w:val="00C4319B"/>
    <w:rsid w:val="00D07BE7"/>
    <w:rsid w:val="00DF68CE"/>
    <w:rsid w:val="00E432B1"/>
    <w:rsid w:val="00E754D1"/>
    <w:rsid w:val="00F73D85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6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96E"/>
  </w:style>
  <w:style w:type="paragraph" w:styleId="a9">
    <w:name w:val="footer"/>
    <w:basedOn w:val="a"/>
    <w:link w:val="aa"/>
    <w:uiPriority w:val="99"/>
    <w:unhideWhenUsed/>
    <w:rsid w:val="001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96E"/>
  </w:style>
  <w:style w:type="table" w:customStyle="1" w:styleId="1">
    <w:name w:val="Сетка таблицы1"/>
    <w:basedOn w:val="a1"/>
    <w:next w:val="a4"/>
    <w:uiPriority w:val="59"/>
    <w:unhideWhenUsed/>
    <w:rsid w:val="006D0007"/>
    <w:pPr>
      <w:suppressAutoHyphens/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6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96E"/>
  </w:style>
  <w:style w:type="paragraph" w:styleId="a9">
    <w:name w:val="footer"/>
    <w:basedOn w:val="a"/>
    <w:link w:val="aa"/>
    <w:uiPriority w:val="99"/>
    <w:unhideWhenUsed/>
    <w:rsid w:val="001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96E"/>
  </w:style>
  <w:style w:type="table" w:customStyle="1" w:styleId="1">
    <w:name w:val="Сетка таблицы1"/>
    <w:basedOn w:val="a1"/>
    <w:next w:val="a4"/>
    <w:uiPriority w:val="59"/>
    <w:unhideWhenUsed/>
    <w:rsid w:val="006D0007"/>
    <w:pPr>
      <w:suppressAutoHyphens/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murmashi.ru/file/admpril/2013/sovetd/resh25prilotchet.do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C7AC-E30D-4C68-B720-8189FA54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6362</Words>
  <Characters>36267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2025-02-26T11:16:00Z</cp:lastPrinted>
  <dcterms:created xsi:type="dcterms:W3CDTF">2025-02-21T09:32:00Z</dcterms:created>
  <dcterms:modified xsi:type="dcterms:W3CDTF">2025-02-26T11:29:00Z</dcterms:modified>
</cp:coreProperties>
</file>