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5000000">
      <w:pPr>
        <w:pStyle w:val="Style_3"/>
        <w:ind w:firstLine="0" w:left="6804"/>
        <w:jc w:val="both"/>
        <w:rPr>
          <w:sz w:val="24"/>
        </w:rPr>
      </w:pPr>
      <w:r>
        <w:rPr>
          <w:sz w:val="24"/>
        </w:rPr>
        <w:t xml:space="preserve">Приложение </w:t>
      </w:r>
    </w:p>
    <w:p w14:paraId="06000000">
      <w:pPr>
        <w:pStyle w:val="Style_3"/>
        <w:ind w:firstLine="0" w:left="6804"/>
        <w:jc w:val="both"/>
        <w:rPr>
          <w:sz w:val="24"/>
        </w:rPr>
      </w:pPr>
      <w:r>
        <w:rPr>
          <w:sz w:val="24"/>
        </w:rPr>
        <w:t xml:space="preserve">к письму ФНС России </w:t>
      </w:r>
    </w:p>
    <w:p w14:paraId="07000000">
      <w:pPr>
        <w:pStyle w:val="Style_3"/>
        <w:ind w:firstLine="0" w:left="6804"/>
        <w:jc w:val="both"/>
        <w:rPr>
          <w:sz w:val="24"/>
        </w:rPr>
      </w:pPr>
      <w:r>
        <w:rPr>
          <w:sz w:val="24"/>
        </w:rPr>
        <w:t xml:space="preserve">от «___» ____________ 2020 г. </w:t>
      </w:r>
    </w:p>
    <w:p w14:paraId="08000000">
      <w:pPr>
        <w:pStyle w:val="Style_3"/>
        <w:ind w:firstLine="0" w:left="6804"/>
        <w:jc w:val="both"/>
        <w:rPr>
          <w:sz w:val="24"/>
        </w:rPr>
      </w:pPr>
      <w:r>
        <w:rPr>
          <w:sz w:val="24"/>
        </w:rPr>
        <w:t>№ ___________</w:t>
      </w:r>
    </w:p>
    <w:p w14:paraId="09000000">
      <w:pPr>
        <w:ind/>
        <w:jc w:val="both"/>
        <w:rPr>
          <w:sz w:val="28"/>
        </w:rPr>
      </w:pPr>
    </w:p>
    <w:p w14:paraId="0A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 xml:space="preserve">Рекомендации по вопросам реализации </w:t>
      </w:r>
      <w:r>
        <w:rPr>
          <w:b w:val="1"/>
          <w:sz w:val="28"/>
        </w:rPr>
        <w:t xml:space="preserve">мер поддержки, касающихся уплаты налога на имущество организаций, налога на имущество физических лиц, земельного налога (в части </w:t>
      </w:r>
      <w:bookmarkStart w:id="1" w:name="_GoBack"/>
      <w:bookmarkEnd w:id="1"/>
      <w:r>
        <w:rPr>
          <w:b w:val="1"/>
          <w:sz w:val="28"/>
        </w:rPr>
        <w:t xml:space="preserve">установления </w:t>
      </w:r>
      <w:r>
        <w:rPr>
          <w:b w:val="1"/>
          <w:sz w:val="28"/>
        </w:rPr>
        <w:t>налоговых льгот) по объектам недвижимости, находящимся в аренде</w:t>
      </w:r>
      <w:r>
        <w:rPr>
          <w:rStyle w:val="Style_4_ch"/>
          <w:b w:val="1"/>
          <w:sz w:val="28"/>
        </w:rPr>
        <w:footnoteReference w:id="1"/>
      </w:r>
    </w:p>
    <w:p w14:paraId="0B000000">
      <w:pPr>
        <w:ind w:firstLine="708"/>
        <w:jc w:val="both"/>
        <w:rPr>
          <w:b w:val="1"/>
          <w:sz w:val="28"/>
        </w:rPr>
      </w:pPr>
    </w:p>
    <w:p w14:paraId="0C000000">
      <w:pPr>
        <w:ind w:firstLine="708"/>
        <w:jc w:val="both"/>
        <w:rPr>
          <w:sz w:val="28"/>
        </w:rPr>
      </w:pPr>
      <w:r>
        <w:rPr>
          <w:sz w:val="28"/>
        </w:rPr>
        <w:t>Статьёй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>
        <w:rPr>
          <w:rStyle w:val="Style_4_ch"/>
          <w:sz w:val="28"/>
        </w:rPr>
        <w:footnoteReference w:id="2"/>
      </w:r>
      <w:r>
        <w:rPr>
          <w:sz w:val="28"/>
        </w:rPr>
        <w:t xml:space="preserve"> установлено следующее: </w:t>
      </w:r>
    </w:p>
    <w:p w14:paraId="0D000000">
      <w:pPr>
        <w:ind w:firstLine="708"/>
        <w:jc w:val="both"/>
        <w:rPr>
          <w:sz w:val="28"/>
        </w:rPr>
      </w:pPr>
      <w:r>
        <w:rPr>
          <w:sz w:val="28"/>
        </w:rPr>
        <w:t>- в отношении договоров аренды недвижимого имущества, заключенных до принятия в 2020 году органом государственной власти субъекта Российской Федерации 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 (в редакции Закона) решения о введении режима повышенной готовности или чрезвычайной ситуации на территории субъекта Российской Федерации</w:t>
      </w:r>
      <w:r>
        <w:rPr>
          <w:rStyle w:val="Style_4_ch"/>
          <w:sz w:val="28"/>
        </w:rPr>
        <w:footnoteReference w:id="3"/>
      </w:r>
      <w:r>
        <w:rPr>
          <w:sz w:val="28"/>
        </w:rPr>
        <w:t xml:space="preserve">, в течение 30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году. Требования к условиям и срокам такой отсрочки устанавливаются Правительством Российской Федерации; </w:t>
      </w:r>
    </w:p>
    <w:p w14:paraId="0E000000">
      <w:pPr>
        <w:ind w:firstLine="708"/>
        <w:jc w:val="both"/>
        <w:rPr>
          <w:sz w:val="28"/>
        </w:rPr>
      </w:pPr>
      <w:r>
        <w:rPr>
          <w:sz w:val="28"/>
        </w:rPr>
        <w:t xml:space="preserve">-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имущества, связанной с принятием решения о введении режима повышенной готовности. </w:t>
      </w:r>
    </w:p>
    <w:p w14:paraId="0F000000">
      <w:pPr>
        <w:ind w:firstLine="708"/>
        <w:jc w:val="both"/>
        <w:rPr>
          <w:sz w:val="28"/>
        </w:rPr>
      </w:pPr>
      <w:r>
        <w:rPr>
          <w:sz w:val="28"/>
        </w:rPr>
        <w:t xml:space="preserve">Правительство Российской Федерации рекомендовало </w:t>
      </w:r>
      <w:r>
        <w:rPr>
          <w:sz w:val="28"/>
        </w:rPr>
        <w:t xml:space="preserve">снизить имущественные налоги для арендодателей в обмен на снижение ставок аренды или отсрочки платежей для арендаторов отдельных категорий бизнеса, в </w:t>
      </w:r>
      <w:r>
        <w:rPr>
          <w:sz w:val="28"/>
        </w:rPr>
        <w:t>т.ч</w:t>
      </w:r>
      <w:r>
        <w:rPr>
          <w:sz w:val="28"/>
        </w:rPr>
        <w:t xml:space="preserve">. в отношении объектов недвижимости </w:t>
      </w:r>
      <w:r>
        <w:rPr>
          <w:sz w:val="28"/>
        </w:rPr>
        <w:t>в</w:t>
      </w:r>
      <w:r>
        <w:rPr>
          <w:sz w:val="28"/>
        </w:rPr>
        <w:t xml:space="preserve"> частной собственности</w:t>
      </w:r>
      <w:r>
        <w:rPr>
          <w:rStyle w:val="Style_4_ch"/>
          <w:sz w:val="28"/>
        </w:rPr>
        <w:footnoteReference w:id="4"/>
      </w:r>
      <w:r>
        <w:rPr>
          <w:sz w:val="28"/>
        </w:rPr>
        <w:t xml:space="preserve">. </w:t>
      </w:r>
    </w:p>
    <w:p w14:paraId="10000000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2 постановления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 </w:t>
      </w:r>
      <w:r>
        <w:rPr>
          <w:sz w:val="28"/>
        </w:rPr>
        <w:t xml:space="preserve">рекомендовано 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 – собственникам объектов недвижимости, предоставившим отсрочку уплаты арендной платы по </w:t>
      </w:r>
      <w:r>
        <w:rPr>
          <w:sz w:val="28"/>
        </w:rPr>
        <w:t>договорам аренды объектов недвижимого имущества, указанным в пункте 1 требований, утверждённых указанным постановлением</w:t>
      </w:r>
      <w:r>
        <w:rPr>
          <w:rStyle w:val="Style_4_ch"/>
          <w:sz w:val="28"/>
        </w:rPr>
        <w:footnoteReference w:id="5"/>
      </w:r>
      <w:r>
        <w:rPr>
          <w:sz w:val="28"/>
        </w:rPr>
        <w:t xml:space="preserve">, меры поддержки, касающиеся </w:t>
      </w:r>
      <w:r>
        <w:rPr>
          <w:sz w:val="28"/>
        </w:rPr>
        <w:t xml:space="preserve">уплаты налога на имущество организаций, имущество физических лиц, земельного налога по данному объекту недвижимости за период, на который предоставлена отсрочка. </w:t>
      </w:r>
    </w:p>
    <w:p w14:paraId="11000000">
      <w:pPr>
        <w:ind w:firstLine="708"/>
        <w:jc w:val="both"/>
        <w:rPr>
          <w:sz w:val="28"/>
        </w:rPr>
      </w:pPr>
      <w:r>
        <w:rPr>
          <w:sz w:val="28"/>
        </w:rPr>
        <w:t>Согласно пункту 1 Требований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они </w:t>
      </w:r>
      <w:r>
        <w:rPr>
          <w:sz w:val="28"/>
        </w:rPr>
        <w:t xml:space="preserve">применяются к </w:t>
      </w:r>
      <w:r>
        <w:rPr>
          <w:sz w:val="28"/>
        </w:rPr>
        <w:t>условиям и срокам</w:t>
      </w:r>
      <w:r>
        <w:rPr>
          <w:sz w:val="28"/>
        </w:rPr>
        <w:t xml:space="preserve">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</w:t>
      </w:r>
      <w:r>
        <w:rPr>
          <w:sz w:val="28"/>
        </w:rPr>
        <w:t xml:space="preserve">решения о введении режима повышенной готовности </w:t>
      </w:r>
      <w:r>
        <w:rPr>
          <w:sz w:val="28"/>
        </w:rPr>
        <w:t xml:space="preserve">и арендаторами по которым являются организации и индивидуальные предприниматели, осуществляющие деятельность в отраслях российской экономики, </w:t>
      </w:r>
      <w:r>
        <w:rPr>
          <w:sz w:val="28"/>
        </w:rPr>
        <w:t xml:space="preserve">в наибольшей степени пострадавших в условиях ухудшения ситуации в результате распространения новой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</w:t>
      </w:r>
      <w:r>
        <w:rPr>
          <w:rStyle w:val="Style_4_ch"/>
          <w:sz w:val="28"/>
        </w:rPr>
        <w:footnoteReference w:id="6"/>
      </w:r>
      <w:r>
        <w:rPr>
          <w:sz w:val="28"/>
        </w:rPr>
        <w:t xml:space="preserve">.  </w:t>
      </w:r>
    </w:p>
    <w:p w14:paraId="12000000">
      <w:pPr>
        <w:ind w:firstLine="708"/>
        <w:jc w:val="both"/>
        <w:rPr>
          <w:sz w:val="28"/>
        </w:rPr>
      </w:pPr>
    </w:p>
    <w:p w14:paraId="13000000">
      <w:pPr>
        <w:ind w:firstLine="708"/>
        <w:jc w:val="both"/>
        <w:rPr>
          <w:sz w:val="28"/>
        </w:rPr>
      </w:pPr>
      <w:r>
        <w:rPr>
          <w:sz w:val="28"/>
        </w:rPr>
        <w:t>В случае, если меры поддержки</w:t>
      </w:r>
      <w:r>
        <w:rPr>
          <w:sz w:val="28"/>
        </w:rPr>
        <w:t xml:space="preserve"> связаны со снижением налогов – установлением </w:t>
      </w:r>
      <w:r>
        <w:rPr>
          <w:sz w:val="28"/>
        </w:rPr>
        <w:t>налоговых льгот</w:t>
      </w:r>
      <w:r>
        <w:rPr>
          <w:sz w:val="28"/>
        </w:rPr>
        <w:t xml:space="preserve"> в отношении объектов налогообложения, являющихся предметом договора аренды,</w:t>
      </w:r>
      <w:r>
        <w:rPr>
          <w:sz w:val="28"/>
        </w:rPr>
        <w:t xml:space="preserve"> рекомендуется учитывать следующее</w:t>
      </w:r>
      <w:r>
        <w:rPr>
          <w:sz w:val="28"/>
        </w:rPr>
        <w:t>.</w:t>
      </w:r>
    </w:p>
    <w:p w14:paraId="14000000">
      <w:pPr>
        <w:pStyle w:val="Style_3"/>
        <w:ind w:firstLine="709"/>
        <w:jc w:val="both"/>
      </w:pPr>
      <w:r>
        <w:t>1. Для определения категорий налогоплательщиков, для которых устанавливаются налоговые льготы, предлагается:</w:t>
      </w:r>
    </w:p>
    <w:p w14:paraId="15000000">
      <w:pPr>
        <w:pStyle w:val="Style_3"/>
        <w:ind w:firstLine="709"/>
        <w:jc w:val="both"/>
      </w:pPr>
      <w:r>
        <w:t>- использовать (ссылаться на) перечень наиболее пострадавших отраслей экономики, утвержденный постановлением Правительства Российской Федерации от 03.04.2020 № 434;</w:t>
      </w:r>
    </w:p>
    <w:p w14:paraId="16000000">
      <w:pPr>
        <w:pStyle w:val="Style_3"/>
        <w:ind w:firstLine="709"/>
        <w:jc w:val="both"/>
      </w:pPr>
      <w:r>
        <w:t xml:space="preserve">- предусмотреть, что </w:t>
      </w:r>
      <w:r>
        <w:t>о</w:t>
      </w:r>
      <w:r>
        <w:t xml:space="preserve">существление </w:t>
      </w:r>
      <w:r>
        <w:t xml:space="preserve">арендатором по договору аренды (организацией и индивидуальным предпринимателем) </w:t>
      </w:r>
      <w:r>
        <w:t>деятельности в соответствующей сфере деятельности</w:t>
      </w:r>
      <w:r>
        <w:t xml:space="preserve"> из</w:t>
      </w:r>
      <w:r>
        <w:t xml:space="preserve"> наиболее пострадавш</w:t>
      </w:r>
      <w:r>
        <w:t>их отраслей экономики</w:t>
      </w:r>
      <w:r>
        <w:t xml:space="preserve">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</w:t>
      </w:r>
      <w:r>
        <w:t xml:space="preserve"> на 1 марта 2020 г. (взяв за основу абзац первый пункта 1 и пункт 2 </w:t>
      </w:r>
      <w:r>
        <w:rPr>
          <w:color w:val="000000"/>
        </w:rPr>
        <w:t>постановления Правительства Российской Федерации от 02.04.2</w:t>
      </w:r>
      <w:r>
        <w:t>020 № 409 «О мерах по обеспечению устойчивого развития экономики»).</w:t>
      </w:r>
    </w:p>
    <w:p w14:paraId="17000000">
      <w:pPr>
        <w:pStyle w:val="Style_3"/>
        <w:ind w:firstLine="709"/>
        <w:jc w:val="both"/>
      </w:pPr>
      <w:r>
        <w:t>2</w:t>
      </w:r>
      <w:r>
        <w:t>. В соответствии с пунктом 2 статьи 372 Налогового кодекса Российской Федерации</w:t>
      </w:r>
      <w:r>
        <w:rPr>
          <w:rStyle w:val="Style_4_ch"/>
        </w:rPr>
        <w:footnoteReference w:id="7"/>
      </w:r>
      <w:r>
        <w:t xml:space="preserve"> при установлении налога на имущество организаций законами субъектов Российской Федерации могут предусматриваться </w:t>
      </w:r>
      <w:r>
        <w:fldChar w:fldCharType="begin"/>
      </w:r>
      <w:r>
        <w:instrText>HYPERLINK "consultantplus://offline/ref=FE0AE4A5F62F138E8DCEDF11136F5D89843BB3DE92AED9C2D5B416C17814FDCEE560EDC7E3AC13D8835AFFEE750E9FB5CCE34CCD67219FB8nEL7O"</w:instrText>
      </w:r>
      <w:r>
        <w:fldChar w:fldCharType="separate"/>
      </w:r>
      <w:r>
        <w:t>налоговые льготы</w:t>
      </w:r>
      <w:r>
        <w:fldChar w:fldCharType="end"/>
      </w:r>
      <w:r>
        <w:t xml:space="preserve"> и основания для их использования налогоплательщиками.</w:t>
      </w:r>
    </w:p>
    <w:p w14:paraId="18000000">
      <w:pPr>
        <w:pStyle w:val="Style_3"/>
        <w:ind w:firstLine="709"/>
        <w:jc w:val="both"/>
      </w:pPr>
      <w:r>
        <w:t>Согласно пункту 2 статьи 387 Кодекса, при установлении земельного налога нормативными правовыми актами</w:t>
      </w:r>
      <w:r>
        <w:t xml:space="preserve"> представительных органов муниципальных образований (законами городов федерального значения) могут устанавливаться налоговые льготы, основания и порядок их применения.</w:t>
      </w:r>
    </w:p>
    <w:p w14:paraId="19000000">
      <w:pPr>
        <w:pStyle w:val="Style_3"/>
        <w:ind w:firstLine="709"/>
        <w:jc w:val="both"/>
      </w:pPr>
      <w:r>
        <w:t xml:space="preserve">Согласно пункту 2 статьи 399 Кодекса, при установлении налога на имущество физических лиц нормативными правовыми актами представительных органов </w:t>
      </w:r>
      <w:r>
        <w:t>муниципальных образований (законами городов федерального значения) могут устанавливаться налоговые льготы, не предусмотренные главой 32 Кодекса, основания и порядок их применения налогоплательщиками.</w:t>
      </w:r>
    </w:p>
    <w:p w14:paraId="1A000000">
      <w:pPr>
        <w:pStyle w:val="Style_3"/>
        <w:ind w:firstLine="709"/>
        <w:jc w:val="both"/>
      </w:pPr>
      <w:r>
        <w:t xml:space="preserve">Таким образом, установление налоговых льгот возможно посредством принятия вышеуказанных законов субъектов Российской Федерации или муниципальных нормативных правовых актов. </w:t>
      </w:r>
    </w:p>
    <w:p w14:paraId="1B000000">
      <w:pPr>
        <w:pStyle w:val="Style_3"/>
        <w:ind w:firstLine="709"/>
        <w:jc w:val="both"/>
      </w:pPr>
      <w:r>
        <w:t>3. Исходя из направленности рассматриваемых мер поддержки, их срочного характера, ограниченности по категориям налогоплательщиков и видам объектов налогообложения при установлении налоговых льгот предлагается проанализировать в совокупности следующие типовые (рекомендуемые) условия:</w:t>
      </w:r>
    </w:p>
    <w:p w14:paraId="1C000000">
      <w:pPr>
        <w:pStyle w:val="Style_3"/>
        <w:ind w:firstLine="709"/>
        <w:jc w:val="both"/>
        <w:rPr>
          <w:b w:val="1"/>
        </w:rPr>
      </w:pPr>
      <w:r>
        <w:rPr>
          <w:b w:val="1"/>
        </w:rPr>
        <w:t xml:space="preserve">а) </w:t>
      </w:r>
      <w:r>
        <w:rPr>
          <w:b w:val="1"/>
        </w:rPr>
        <w:t xml:space="preserve">объект налогообложения  </w:t>
      </w:r>
    </w:p>
    <w:p w14:paraId="1D000000">
      <w:pPr>
        <w:pStyle w:val="Style_3"/>
        <w:ind w:firstLine="709"/>
        <w:jc w:val="both"/>
      </w:pPr>
      <w:r>
        <w:t>Установление налоговой льготы в отношении объекта налогообложения, одновременно являющегося предметом договора аренды, отвечающего следующим условиям:</w:t>
      </w:r>
    </w:p>
    <w:p w14:paraId="1E000000">
      <w:pPr>
        <w:pStyle w:val="Style_3"/>
        <w:ind w:firstLine="709"/>
        <w:jc w:val="both"/>
      </w:pPr>
      <w:r>
        <w:t xml:space="preserve">- </w:t>
      </w:r>
      <w:r>
        <w:t xml:space="preserve">собственник объекта аренды - </w:t>
      </w:r>
      <w:r>
        <w:t xml:space="preserve">арендодатель </w:t>
      </w:r>
      <w:r>
        <w:t>(организация или</w:t>
      </w:r>
      <w:r>
        <w:t xml:space="preserve"> индивидуальны</w:t>
      </w:r>
      <w:r>
        <w:t>й</w:t>
      </w:r>
      <w:r>
        <w:t xml:space="preserve"> предпринимател</w:t>
      </w:r>
      <w:r>
        <w:t>ь)</w:t>
      </w:r>
      <w:r>
        <w:t xml:space="preserve"> предостави</w:t>
      </w:r>
      <w:r>
        <w:t xml:space="preserve">л </w:t>
      </w:r>
      <w:r>
        <w:t>в соответствии с Требования</w:t>
      </w:r>
      <w:r>
        <w:t xml:space="preserve">ми на период применения налоговой льготы </w:t>
      </w:r>
      <w:r>
        <w:t xml:space="preserve">отсрочку уплаты арендной платы по договору аренды </w:t>
      </w:r>
      <w:r>
        <w:t>и снизил размер арендной платы по этому договору за период применения налоговой льготы</w:t>
      </w:r>
      <w:r>
        <w:t>;</w:t>
      </w:r>
    </w:p>
    <w:p w14:paraId="1F000000">
      <w:pPr>
        <w:pStyle w:val="Style_3"/>
        <w:ind w:firstLine="709"/>
        <w:jc w:val="both"/>
      </w:pPr>
      <w:r>
        <w:t>- договор аренды заключен д</w:t>
      </w:r>
      <w:r>
        <w:t xml:space="preserve">о принятия в 2020 году решения о введении режима повышенной готовности </w:t>
      </w:r>
      <w:r>
        <w:t>и не прекратил действия до отмены</w:t>
      </w:r>
      <w:r>
        <w:t xml:space="preserve"> </w:t>
      </w:r>
      <w:r>
        <w:t>этого решения</w:t>
      </w:r>
      <w:r>
        <w:t xml:space="preserve">; </w:t>
      </w:r>
    </w:p>
    <w:p w14:paraId="20000000">
      <w:pPr>
        <w:pStyle w:val="Style_3"/>
        <w:ind w:firstLine="709"/>
        <w:jc w:val="both"/>
      </w:pPr>
      <w:r>
        <w:t xml:space="preserve">- </w:t>
      </w:r>
      <w:r>
        <w:t xml:space="preserve">договор аренды </w:t>
      </w:r>
      <w:r>
        <w:t>заключен с арендатор</w:t>
      </w:r>
      <w:r>
        <w:t>ом</w:t>
      </w:r>
      <w:r>
        <w:t>,</w:t>
      </w:r>
      <w:r>
        <w:t xml:space="preserve"> являющимся</w:t>
      </w:r>
      <w:r>
        <w:t xml:space="preserve"> </w:t>
      </w:r>
      <w:r>
        <w:t>организаци</w:t>
      </w:r>
      <w:r>
        <w:t>ей</w:t>
      </w:r>
      <w:r>
        <w:t xml:space="preserve"> или индивидуальным предпринимател</w:t>
      </w:r>
      <w:r>
        <w:t>ем</w:t>
      </w:r>
      <w:r>
        <w:t>, осуществляющим деятельность в наиболее пострадавших отраслях экономики;</w:t>
      </w:r>
    </w:p>
    <w:p w14:paraId="21000000">
      <w:pPr>
        <w:pStyle w:val="Style_3"/>
        <w:ind w:firstLine="709"/>
        <w:jc w:val="both"/>
      </w:pPr>
      <w:r>
        <w:t>- объектом аренды не является жилое помещение (</w:t>
      </w:r>
      <w:r>
        <w:t xml:space="preserve">учитывая </w:t>
      </w:r>
      <w:r>
        <w:t>пункт 2 Требований</w:t>
      </w:r>
      <w:r>
        <w:t>);</w:t>
      </w:r>
      <w:r>
        <w:t xml:space="preserve"> </w:t>
      </w:r>
    </w:p>
    <w:p w14:paraId="22000000">
      <w:pPr>
        <w:pStyle w:val="Style_3"/>
        <w:ind w:firstLine="709"/>
        <w:jc w:val="both"/>
        <w:rPr>
          <w:b w:val="1"/>
        </w:rPr>
      </w:pPr>
      <w:r>
        <w:rPr>
          <w:b w:val="1"/>
        </w:rPr>
        <w:t xml:space="preserve">б) период </w:t>
      </w:r>
      <w:r>
        <w:rPr>
          <w:b w:val="1"/>
        </w:rPr>
        <w:t xml:space="preserve">действия </w:t>
      </w:r>
      <w:r>
        <w:rPr>
          <w:b w:val="1"/>
        </w:rPr>
        <w:t xml:space="preserve">налоговой льготы </w:t>
      </w:r>
    </w:p>
    <w:p w14:paraId="23000000">
      <w:pPr>
        <w:pStyle w:val="Style_3"/>
        <w:ind w:firstLine="709"/>
        <w:jc w:val="both"/>
      </w:pPr>
      <w:r>
        <w:t>Установление налоговой льготы в отношении налогового периода 2020 года:</w:t>
      </w:r>
    </w:p>
    <w:p w14:paraId="24000000">
      <w:pPr>
        <w:pStyle w:val="Style_3"/>
        <w:ind w:firstLine="709"/>
        <w:jc w:val="both"/>
      </w:pPr>
      <w:r>
        <w:t>- с 1-ого числа месяца, в котором принято решение о</w:t>
      </w:r>
      <w:r>
        <w:t xml:space="preserve"> </w:t>
      </w:r>
      <w:r>
        <w:t>введении режима повышенной готовности</w:t>
      </w:r>
      <w:r>
        <w:t>, и до окончания месяца, в котором действие указанного решения отменено;</w:t>
      </w:r>
    </w:p>
    <w:p w14:paraId="25000000">
      <w:pPr>
        <w:pStyle w:val="Style_3"/>
        <w:ind w:firstLine="709"/>
        <w:jc w:val="both"/>
      </w:pPr>
      <w:r>
        <w:t xml:space="preserve">- при условии, что в вышеуказанном периоде действует </w:t>
      </w:r>
      <w:r>
        <w:t>отсрочк</w:t>
      </w:r>
      <w:r>
        <w:t>а</w:t>
      </w:r>
      <w:r>
        <w:t xml:space="preserve"> уплаты арендной платы по договору аренды в соответствии с Требования</w:t>
      </w:r>
      <w:r>
        <w:t>ми, а также снижение размера арендной платы по этому договору</w:t>
      </w:r>
      <w:r>
        <w:t>;</w:t>
      </w:r>
    </w:p>
    <w:p w14:paraId="26000000">
      <w:pPr>
        <w:pStyle w:val="Style_3"/>
        <w:ind w:firstLine="709"/>
        <w:jc w:val="both"/>
        <w:rPr>
          <w:b w:val="1"/>
        </w:rPr>
      </w:pPr>
      <w:r>
        <w:rPr>
          <w:b w:val="1"/>
        </w:rPr>
        <w:t>в) размер налоговой льготы</w:t>
      </w:r>
    </w:p>
    <w:p w14:paraId="27000000">
      <w:pPr>
        <w:pStyle w:val="Style_3"/>
        <w:ind w:firstLine="709"/>
        <w:jc w:val="both"/>
      </w:pPr>
      <w:r>
        <w:t xml:space="preserve">Установление налоговой льготы в виде уменьшения суммы налога </w:t>
      </w:r>
      <w:r>
        <w:t xml:space="preserve">в период действия налоговой льготы. </w:t>
      </w:r>
    </w:p>
    <w:p w14:paraId="28000000">
      <w:pPr>
        <w:pStyle w:val="Style_3"/>
        <w:ind w:firstLine="709"/>
        <w:jc w:val="both"/>
      </w:pPr>
      <w:r>
        <w:t>В случае, если при применении налоговой льготы сумма налога принимает отрицательное значение, в целях исчисления налога за период применения налоговой льготы его сумма принимается равной нулю</w:t>
      </w:r>
      <w:r>
        <w:t>;</w:t>
      </w:r>
    </w:p>
    <w:p w14:paraId="29000000">
      <w:pPr>
        <w:pStyle w:val="Style_3"/>
        <w:ind w:firstLine="709"/>
        <w:jc w:val="both"/>
        <w:rPr>
          <w:b w:val="1"/>
        </w:rPr>
      </w:pPr>
      <w:r>
        <w:rPr>
          <w:b w:val="1"/>
        </w:rPr>
        <w:t xml:space="preserve">г) основания применения налоговой льготы </w:t>
      </w:r>
    </w:p>
    <w:p w14:paraId="2A000000">
      <w:pPr>
        <w:pStyle w:val="Style_3"/>
        <w:ind w:firstLine="709"/>
        <w:jc w:val="both"/>
      </w:pPr>
      <w:r>
        <w:t xml:space="preserve">При установлении налоговой льготы целесообразно определить, что основанием её применения являются: </w:t>
      </w:r>
    </w:p>
    <w:p w14:paraId="2B000000">
      <w:pPr>
        <w:pStyle w:val="Style_3"/>
        <w:ind w:firstLine="709"/>
        <w:jc w:val="both"/>
      </w:pPr>
      <w:r>
        <w:t>- по налогу на имущество организаций – документы, представляемые налогоплательщиком в налоговый орган вместе с налоговой декларацией за налоговый период 2020 года: договор аренды; дополнительное(</w:t>
      </w:r>
      <w:r>
        <w:t>ые</w:t>
      </w:r>
      <w:r>
        <w:t>) соглашение(я) к договору аренды, предусматривающее(</w:t>
      </w:r>
      <w:r>
        <w:t>ие</w:t>
      </w:r>
      <w:r>
        <w:t xml:space="preserve">) отсрочку уплаты арендной платы и снижение размера арендной платы за период применения налоговой льготы; документы, подтверждающие взаимные расчеты сторон по договору аренды в течение 2020 года, включая период применения налоговой льготы; иные документы, позволяющие подтвердить право на применение налоговой льготы с учетом установленных условий её действия;      </w:t>
      </w:r>
    </w:p>
    <w:p w14:paraId="2C000000">
      <w:pPr>
        <w:pStyle w:val="Style_3"/>
        <w:ind w:firstLine="709"/>
        <w:jc w:val="both"/>
      </w:pPr>
      <w:r>
        <w:t xml:space="preserve">- по налогу на имущество физических лиц и по земельному налогу – заявление о предоставлении налоговой льготы, представленное в налоговый орган в соответствии с законодательством о налогах и сборах.  </w:t>
      </w:r>
    </w:p>
    <w:p w14:paraId="2D000000"/>
    <w:sectPr>
      <w:headerReference r:id="rId1" w:type="default"/>
      <w:footerReference r:id="rId2" w:type="default"/>
      <w:pgSz w:h="16838" w:w="11906"/>
      <w:pgMar w:bottom="1135" w:footer="357" w:gutter="0" w:header="720" w:left="1276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3000000">
    <w:pPr>
      <w:pStyle w:val="Style_2"/>
      <w:rPr>
        <w:rFonts w:ascii="Garamond" w:hAnsi="Garamond"/>
        <w:b w:val="1"/>
        <w:i w:val="1"/>
        <w:color w:val="808080"/>
        <w:sz w:val="16"/>
      </w:rPr>
    </w:pPr>
  </w:p>
  <w:p w14:paraId="04000000">
    <w:pPr>
      <w:pStyle w:val="Style_2"/>
      <w:rPr>
        <w:rFonts w:ascii="Garamond" w:hAnsi="Garamond"/>
        <w:b w:val="1"/>
        <w:i w:val="1"/>
        <w:color w:val="808080"/>
        <w:sz w:val="16"/>
      </w:rPr>
    </w:pPr>
  </w:p>
</w:ftr>
</file>

<file path=word/footnotes.xml><?xml version="1.0" encoding="utf-8"?>
<w:footnot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E000000">
      <w:pPr>
        <w:pStyle w:val="Style_3"/>
        <w:ind/>
        <w:jc w:val="both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Настоящие рекомендации носят сугубо информационно-справочный (рекомендательный, а не общеобязательный) характер, не содержат новых норм и официальных разъяснений законодательства, не препятствуют применению нормативных предписаний и положений в значении, отличающемся от примененном в рекомендациях. </w:t>
      </w:r>
    </w:p>
  </w:footnote>
  <w:footnote w:id="2">
    <w:p w14:paraId="2F000000">
      <w:pPr>
        <w:pStyle w:val="Style_16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Далее – Закон.</w:t>
      </w:r>
    </w:p>
  </w:footnote>
  <w:footnote w:id="3">
    <w:p w14:paraId="30000000">
      <w:pPr>
        <w:pStyle w:val="Style_16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Д</w:t>
      </w:r>
      <w:r>
        <w:rPr>
          <w:sz w:val="24"/>
        </w:rPr>
        <w:t>алее – решение о введении режима повышенной готовности.</w:t>
      </w:r>
    </w:p>
  </w:footnote>
  <w:footnote w:id="4">
    <w:p w14:paraId="31000000">
      <w:pPr>
        <w:ind/>
        <w:jc w:val="both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"http://www.kremlin.ru/events/president/news/63123"</w:instrText>
      </w:r>
      <w:r>
        <w:rPr>
          <w:sz w:val="24"/>
        </w:rPr>
        <w:fldChar w:fldCharType="separate"/>
      </w:r>
      <w:r>
        <w:rPr>
          <w:sz w:val="24"/>
        </w:rPr>
        <w:t>http://www.kremlin.ru/events/president/news/63123</w:t>
      </w:r>
      <w:r>
        <w:rPr>
          <w:sz w:val="24"/>
        </w:rPr>
        <w:fldChar w:fldCharType="end"/>
      </w:r>
      <w:r>
        <w:rPr>
          <w:sz w:val="24"/>
        </w:rPr>
        <w:t>.</w:t>
      </w:r>
    </w:p>
  </w:footnote>
  <w:footnote w:id="5">
    <w:p w14:paraId="32000000">
      <w:pPr>
        <w:pStyle w:val="Style_16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Далее – Требования.</w:t>
      </w:r>
    </w:p>
  </w:footnote>
  <w:footnote w:id="6">
    <w:p w14:paraId="33000000">
      <w:pPr>
        <w:pStyle w:val="Style_16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Далее </w:t>
      </w:r>
      <w:r>
        <w:rPr>
          <w:sz w:val="24"/>
        </w:rPr>
        <w:t xml:space="preserve">соответственно </w:t>
      </w:r>
      <w:r>
        <w:rPr>
          <w:sz w:val="24"/>
        </w:rPr>
        <w:t>– договор аренды</w:t>
      </w:r>
      <w:r>
        <w:rPr>
          <w:sz w:val="24"/>
        </w:rPr>
        <w:t>, наиболее пострадавшие отрасли экономики.</w:t>
      </w:r>
      <w:r>
        <w:rPr>
          <w:sz w:val="24"/>
        </w:rPr>
        <w:t xml:space="preserve"> </w:t>
      </w:r>
    </w:p>
  </w:footnote>
  <w:footnote w:id="7">
    <w:p w14:paraId="34000000">
      <w:pPr>
        <w:pStyle w:val="Style_16"/>
        <w:rPr>
          <w:sz w:val="24"/>
        </w:rPr>
      </w:pPr>
      <w:r>
        <w:rPr>
          <w:sz w:val="24"/>
          <w:vertAlign w:val="superscript"/>
        </w:rPr>
        <w:footnoteRef/>
      </w:r>
      <w:r>
        <w:rPr>
          <w:sz w:val="24"/>
        </w:rPr>
        <w:t xml:space="preserve"> Далее – Кодекс. </w:t>
      </w:r>
    </w:p>
  </w:footnote>
</w:footnote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5_ch" w:type="character">
    <w:name w:val="Normal"/>
    <w:link w:val="Style_5"/>
    <w:rPr>
      <w:rFonts w:ascii="Times New Roman" w:hAnsi="Times New Roman"/>
      <w:sz w:val="26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5_ch"/>
    <w:link w:val="Style_1"/>
    <w:rPr>
      <w:sz w:val="28"/>
    </w:rPr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5"/>
    <w:link w:val="Style_16_ch"/>
    <w:rPr>
      <w:sz w:val="20"/>
    </w:rPr>
  </w:style>
  <w:style w:styleId="Style_16_ch" w:type="character">
    <w:name w:val="Footnote"/>
    <w:basedOn w:val="Style_5_ch"/>
    <w:link w:val="Style_16"/>
    <w:rPr>
      <w:sz w:val="20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page number"/>
    <w:basedOn w:val="Style_11"/>
    <w:link w:val="Style_19_ch"/>
  </w:style>
  <w:style w:styleId="Style_19_ch" w:type="character">
    <w:name w:val="page number"/>
    <w:basedOn w:val="Style_11_ch"/>
    <w:link w:val="Style_19"/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5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